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C4E26" w14:textId="77777777" w:rsidR="001632AF" w:rsidRPr="00083897" w:rsidRDefault="001632AF" w:rsidP="001632AF">
      <w:pPr>
        <w:spacing w:line="480" w:lineRule="auto"/>
        <w:jc w:val="both"/>
        <w:outlineLvl w:val="0"/>
        <w:rPr>
          <w:rFonts w:ascii="Times New Roman" w:hAnsi="Times New Roman"/>
          <w:b/>
        </w:rPr>
      </w:pPr>
      <w:r>
        <w:rPr>
          <w:rFonts w:ascii="Times New Roman" w:hAnsi="Times New Roman"/>
          <w:b/>
        </w:rPr>
        <w:t xml:space="preserve">Supplementary Information about </w:t>
      </w:r>
      <w:r w:rsidRPr="00083897">
        <w:rPr>
          <w:rFonts w:ascii="Times New Roman" w:hAnsi="Times New Roman"/>
          <w:b/>
        </w:rPr>
        <w:t xml:space="preserve">Key </w:t>
      </w:r>
      <w:r>
        <w:rPr>
          <w:rFonts w:ascii="Times New Roman" w:hAnsi="Times New Roman"/>
          <w:b/>
        </w:rPr>
        <w:t>P</w:t>
      </w:r>
      <w:r w:rsidRPr="00083897">
        <w:rPr>
          <w:rFonts w:ascii="Times New Roman" w:hAnsi="Times New Roman"/>
          <w:b/>
        </w:rPr>
        <w:t>rovisions</w:t>
      </w:r>
    </w:p>
    <w:p w14:paraId="0CAED941" w14:textId="77777777" w:rsidR="001632AF" w:rsidRDefault="001632AF" w:rsidP="001632AF">
      <w:pPr>
        <w:spacing w:line="480" w:lineRule="auto"/>
        <w:ind w:firstLine="540"/>
        <w:jc w:val="both"/>
        <w:rPr>
          <w:rFonts w:ascii="Times New Roman" w:hAnsi="Times New Roman"/>
        </w:rPr>
      </w:pPr>
      <w:r w:rsidRPr="005029EF">
        <w:rPr>
          <w:rFonts w:ascii="Times New Roman" w:hAnsi="Times New Roman"/>
        </w:rPr>
        <w:t>W</w:t>
      </w:r>
      <w:r w:rsidRPr="00AD3385">
        <w:rPr>
          <w:rFonts w:ascii="Times New Roman" w:hAnsi="Times New Roman"/>
        </w:rPr>
        <w:t>e divide the articles of the Treaty into “non-enforceable” (the preamble) and “enforceable” (the articles of the main part of the Treaty)</w:t>
      </w:r>
      <w:r>
        <w:rPr>
          <w:rFonts w:ascii="Times New Roman" w:hAnsi="Times New Roman"/>
        </w:rPr>
        <w:t xml:space="preserve">. We then use </w:t>
      </w:r>
      <w:r w:rsidRPr="009E6292">
        <w:rPr>
          <w:rFonts w:ascii="Times New Roman" w:hAnsi="Times New Roman"/>
        </w:rPr>
        <w:t>the Council’s press releases on the Trea</w:t>
      </w:r>
      <w:r w:rsidRPr="00F537FB">
        <w:rPr>
          <w:rFonts w:ascii="Times New Roman" w:hAnsi="Times New Roman"/>
        </w:rPr>
        <w:t>ty</w:t>
      </w:r>
      <w:r>
        <w:rPr>
          <w:rFonts w:ascii="Times New Roman" w:hAnsi="Times New Roman"/>
        </w:rPr>
        <w:t xml:space="preserve"> to determine whether porti</w:t>
      </w:r>
      <w:bookmarkStart w:id="0" w:name="_GoBack"/>
      <w:bookmarkEnd w:id="0"/>
      <w:r>
        <w:rPr>
          <w:rFonts w:ascii="Times New Roman" w:hAnsi="Times New Roman"/>
        </w:rPr>
        <w:t>ons of the enforceable section are</w:t>
      </w:r>
      <w:r w:rsidRPr="00AD3385">
        <w:rPr>
          <w:rFonts w:ascii="Times New Roman" w:hAnsi="Times New Roman"/>
        </w:rPr>
        <w:t xml:space="preserve"> “non-signifi</w:t>
      </w:r>
      <w:r w:rsidRPr="009E6292">
        <w:rPr>
          <w:rFonts w:ascii="Times New Roman" w:hAnsi="Times New Roman"/>
        </w:rPr>
        <w:t xml:space="preserve">cant” </w:t>
      </w:r>
      <w:r>
        <w:rPr>
          <w:rFonts w:ascii="Times New Roman" w:hAnsi="Times New Roman"/>
        </w:rPr>
        <w:t>or</w:t>
      </w:r>
      <w:r w:rsidRPr="009E6292">
        <w:rPr>
          <w:rFonts w:ascii="Times New Roman" w:hAnsi="Times New Roman"/>
        </w:rPr>
        <w:t xml:space="preserve"> “significant”</w:t>
      </w:r>
      <w:r>
        <w:rPr>
          <w:rFonts w:ascii="Times New Roman" w:hAnsi="Times New Roman"/>
        </w:rPr>
        <w:t>,</w:t>
      </w:r>
      <w:r w:rsidRPr="009E6292">
        <w:rPr>
          <w:rFonts w:ascii="Times New Roman" w:hAnsi="Times New Roman"/>
        </w:rPr>
        <w:t xml:space="preserve"> to examine whether there is any difference in the ways of achieving agreement on the basis of the importance of disagreements. </w:t>
      </w:r>
      <w:r>
        <w:rPr>
          <w:rFonts w:ascii="Times New Roman" w:hAnsi="Times New Roman"/>
        </w:rPr>
        <w:t xml:space="preserve">These press releases summarize key elements of the Treaty. In particular, </w:t>
      </w:r>
      <w:r w:rsidRPr="00F537FB">
        <w:rPr>
          <w:rFonts w:ascii="Times New Roman" w:hAnsi="Times New Roman"/>
        </w:rPr>
        <w:t>the press release published on December 21</w:t>
      </w:r>
      <w:r>
        <w:rPr>
          <w:rFonts w:ascii="Times New Roman" w:hAnsi="Times New Roman"/>
        </w:rPr>
        <w:t>,</w:t>
      </w:r>
      <w:r w:rsidRPr="00F537FB">
        <w:rPr>
          <w:rFonts w:ascii="Times New Roman" w:hAnsi="Times New Roman"/>
        </w:rPr>
        <w:t xml:space="preserve"> 2012, following Finland’s ratification, provides the most comprehensive summary of the key provisions of the Treaty. These ce</w:t>
      </w:r>
      <w:r w:rsidRPr="00DD4437">
        <w:rPr>
          <w:rFonts w:ascii="Times New Roman" w:hAnsi="Times New Roman"/>
        </w:rPr>
        <w:t>ntral provisions are mainly concerning the “Title III Fiscal Compact”, which address the issue of fiscal rules and discipline, while</w:t>
      </w:r>
      <w:r>
        <w:rPr>
          <w:rFonts w:ascii="Times New Roman" w:hAnsi="Times New Roman"/>
        </w:rPr>
        <w:t xml:space="preserve"> </w:t>
      </w:r>
      <w:r w:rsidRPr="00DD4437">
        <w:rPr>
          <w:rFonts w:ascii="Times New Roman" w:hAnsi="Times New Roman"/>
        </w:rPr>
        <w:t>several other provisions on the overall purpose of the Treaty (Article 1 (1)) and the procedures including the ratification process (Article 12 (2), Article 14 (2), and Article 16) are also included in the press release.</w:t>
      </w:r>
      <w:r w:rsidRPr="00DD4437">
        <w:rPr>
          <w:rStyle w:val="FootnoteReference"/>
          <w:rFonts w:ascii="Times New Roman" w:hAnsi="Times New Roman"/>
        </w:rPr>
        <w:footnoteReference w:id="1"/>
      </w:r>
      <w:r w:rsidRPr="00DD4437">
        <w:rPr>
          <w:rFonts w:ascii="Times New Roman" w:hAnsi="Times New Roman"/>
        </w:rPr>
        <w:t xml:space="preserve"> </w:t>
      </w:r>
    </w:p>
    <w:p w14:paraId="2AD15719" w14:textId="77777777" w:rsidR="001632AF" w:rsidRDefault="001632AF" w:rsidP="001632AF">
      <w:pPr>
        <w:spacing w:line="480" w:lineRule="auto"/>
        <w:ind w:firstLine="540"/>
        <w:jc w:val="both"/>
        <w:rPr>
          <w:rFonts w:ascii="Times New Roman" w:hAnsi="Times New Roman"/>
        </w:rPr>
      </w:pPr>
      <w:commentRangeStart w:id="1"/>
      <w:r>
        <w:rPr>
          <w:rFonts w:ascii="Times New Roman" w:hAnsi="Times New Roman"/>
        </w:rPr>
        <w:t xml:space="preserve">Specifically, Article 1 (1) is categorized as an important provision, as it outlines the purpose and the scope of the Treaty, and thus, significantly determines the underlying policy space of the Treaty as a whole. In particular, this article went through notable changes over the negotiation process. While the initial draft stated “to strengthen their budgetary </w:t>
      </w:r>
      <w:r w:rsidRPr="00C51EA1">
        <w:rPr>
          <w:rFonts w:ascii="Times New Roman" w:hAnsi="Times New Roman"/>
        </w:rPr>
        <w:t>discipline and to reinforce their economic policy coordination and governance</w:t>
      </w:r>
      <w:r>
        <w:rPr>
          <w:rFonts w:ascii="Times New Roman" w:hAnsi="Times New Roman"/>
        </w:rPr>
        <w:t>” as a purpose of the Treaty, the 2nd draft added more specific goals to the previous provision by stating “</w:t>
      </w:r>
      <w:r w:rsidRPr="00EF5ED2">
        <w:rPr>
          <w:rFonts w:ascii="Times New Roman" w:hAnsi="Times New Roman"/>
        </w:rPr>
        <w:t xml:space="preserve">to foster fiscal discipline and deeper integration in the internal market </w:t>
      </w:r>
      <w:r>
        <w:rPr>
          <w:rFonts w:ascii="Times New Roman" w:hAnsi="Times New Roman"/>
        </w:rPr>
        <w:t>and</w:t>
      </w:r>
      <w:r w:rsidRPr="00EF5ED2">
        <w:rPr>
          <w:rFonts w:ascii="Times New Roman" w:hAnsi="Times New Roman"/>
        </w:rPr>
        <w:t xml:space="preserve"> stronger growth, enhanced comp</w:t>
      </w:r>
      <w:r>
        <w:rPr>
          <w:rFonts w:ascii="Times New Roman" w:hAnsi="Times New Roman"/>
        </w:rPr>
        <w:t xml:space="preserve">etitiveness and social cohesion”. However, this change raised concerns in the UK as this issue may be discussed among </w:t>
      </w:r>
      <w:r>
        <w:rPr>
          <w:rFonts w:ascii="Times New Roman" w:hAnsi="Times New Roman"/>
        </w:rPr>
        <w:lastRenderedPageBreak/>
        <w:t xml:space="preserve">the Contracting Parties excluding the UK. In the later drafts, the expression of “to foster […] </w:t>
      </w:r>
      <w:r w:rsidRPr="00EF5ED2">
        <w:rPr>
          <w:rFonts w:ascii="Times New Roman" w:hAnsi="Times New Roman"/>
        </w:rPr>
        <w:t>deeper integration in the internal market</w:t>
      </w:r>
      <w:r>
        <w:rPr>
          <w:rFonts w:ascii="Times New Roman" w:hAnsi="Times New Roman"/>
        </w:rPr>
        <w:t>” was replaced with “</w:t>
      </w:r>
      <w:r w:rsidRPr="00E81EFE">
        <w:rPr>
          <w:rFonts w:ascii="Times New Roman" w:hAnsi="Times New Roman"/>
        </w:rPr>
        <w:t>to strengthen the economic pillar of the Economic and Monetary Union by adopting a set of rules</w:t>
      </w:r>
      <w:r>
        <w:rPr>
          <w:rFonts w:ascii="Times New Roman" w:hAnsi="Times New Roman"/>
        </w:rPr>
        <w:t>”, which is</w:t>
      </w:r>
      <w:r w:rsidRPr="00016C9E">
        <w:rPr>
          <w:rFonts w:ascii="Times New Roman" w:hAnsi="Times New Roman"/>
        </w:rPr>
        <w:t xml:space="preserve"> considered an important concession to the UK</w:t>
      </w:r>
      <w:r>
        <w:rPr>
          <w:rFonts w:ascii="Times New Roman" w:hAnsi="Times New Roman"/>
        </w:rPr>
        <w:t xml:space="preserve">. </w:t>
      </w:r>
    </w:p>
    <w:p w14:paraId="3C0734AC" w14:textId="77777777" w:rsidR="001632AF" w:rsidRDefault="001632AF" w:rsidP="001632AF">
      <w:pPr>
        <w:spacing w:line="480" w:lineRule="auto"/>
        <w:ind w:firstLine="540"/>
        <w:jc w:val="both"/>
        <w:rPr>
          <w:rFonts w:ascii="Times New Roman" w:hAnsi="Times New Roman"/>
        </w:rPr>
      </w:pPr>
      <w:r>
        <w:rPr>
          <w:rFonts w:ascii="Times New Roman" w:hAnsi="Times New Roman"/>
        </w:rPr>
        <w:t xml:space="preserve">From Title III, five provisions are categorized as significant ones which went through modifications over the negotiation process. </w:t>
      </w:r>
      <w:r w:rsidRPr="00E954E8">
        <w:rPr>
          <w:rFonts w:ascii="Times New Roman" w:hAnsi="Times New Roman"/>
        </w:rPr>
        <w:t xml:space="preserve">The </w:t>
      </w:r>
      <w:r>
        <w:rPr>
          <w:rFonts w:ascii="Times New Roman" w:hAnsi="Times New Roman"/>
        </w:rPr>
        <w:t>T</w:t>
      </w:r>
      <w:r w:rsidRPr="00E954E8">
        <w:rPr>
          <w:rFonts w:ascii="Times New Roman" w:hAnsi="Times New Roman"/>
        </w:rPr>
        <w:t>reaty provides, in Article 3 (1), that “</w:t>
      </w:r>
      <w:r>
        <w:rPr>
          <w:rFonts w:ascii="Times New Roman" w:hAnsi="Times New Roman"/>
        </w:rPr>
        <w:t>t</w:t>
      </w:r>
      <w:r w:rsidRPr="00E954E8">
        <w:rPr>
          <w:rFonts w:ascii="Times New Roman" w:hAnsi="Times New Roman"/>
        </w:rPr>
        <w:t xml:space="preserve">he budgetary position of the general government shall be balanced or in </w:t>
      </w:r>
      <w:r>
        <w:rPr>
          <w:rFonts w:ascii="Times New Roman" w:hAnsi="Times New Roman"/>
        </w:rPr>
        <w:t>surplus</w:t>
      </w:r>
      <w:r w:rsidRPr="00E954E8">
        <w:rPr>
          <w:rFonts w:ascii="Times New Roman" w:hAnsi="Times New Roman"/>
        </w:rPr>
        <w:t>”</w:t>
      </w:r>
      <w:r>
        <w:rPr>
          <w:rFonts w:ascii="Times New Roman" w:hAnsi="Times New Roman"/>
        </w:rPr>
        <w:t xml:space="preserve"> under the balanced budget rule, a criterion that is met if the </w:t>
      </w:r>
      <w:r w:rsidRPr="00FA4BB7">
        <w:rPr>
          <w:rFonts w:ascii="Times New Roman" w:hAnsi="Times New Roman"/>
        </w:rPr>
        <w:t>annual structural government deficit does not exceed 0.5% of</w:t>
      </w:r>
      <w:r>
        <w:rPr>
          <w:rFonts w:ascii="Times New Roman" w:hAnsi="Times New Roman"/>
        </w:rPr>
        <w:t xml:space="preserve"> </w:t>
      </w:r>
      <w:r w:rsidRPr="00FA4BB7">
        <w:rPr>
          <w:rFonts w:ascii="Times New Roman" w:hAnsi="Times New Roman"/>
        </w:rPr>
        <w:t>GDP at market prices.</w:t>
      </w:r>
      <w:r>
        <w:rPr>
          <w:rFonts w:ascii="Times New Roman" w:hAnsi="Times New Roman"/>
        </w:rPr>
        <w:t xml:space="preserve"> They must also satisfy the country-specific medium-term budgetary objective, as defined in the revised SGP, otherwise an automatic correction mechanism will be triggered in the event of deviation from the balanced budget rule. This core provision of the Treaty, or the so-called “golden rule” went through important modifications. In the second draft, the expression of “</w:t>
      </w:r>
      <w:r w:rsidRPr="00035B97">
        <w:rPr>
          <w:rFonts w:ascii="Times New Roman" w:hAnsi="Times New Roman"/>
        </w:rPr>
        <w:t>but in any case n</w:t>
      </w:r>
      <w:r>
        <w:rPr>
          <w:rFonts w:ascii="Times New Roman" w:hAnsi="Times New Roman"/>
        </w:rPr>
        <w:t xml:space="preserve">o more than </w:t>
      </w:r>
      <w:r w:rsidRPr="00035B97">
        <w:rPr>
          <w:rFonts w:ascii="Times New Roman" w:hAnsi="Times New Roman"/>
        </w:rPr>
        <w:t>1.0% of nominal GDP</w:t>
      </w:r>
      <w:r>
        <w:rPr>
          <w:rFonts w:ascii="Times New Roman" w:hAnsi="Times New Roman"/>
        </w:rPr>
        <w:t>” was added to the stipulation that more than the 0.5% of structural deficit is permitted w</w:t>
      </w:r>
      <w:r w:rsidRPr="00035B97">
        <w:rPr>
          <w:rFonts w:ascii="Times New Roman" w:hAnsi="Times New Roman"/>
        </w:rPr>
        <w:t>here the debt l</w:t>
      </w:r>
      <w:r>
        <w:rPr>
          <w:rFonts w:ascii="Times New Roman" w:hAnsi="Times New Roman"/>
        </w:rPr>
        <w:t xml:space="preserve">evel is significantly below the </w:t>
      </w:r>
      <w:r w:rsidRPr="00035B97">
        <w:rPr>
          <w:rFonts w:ascii="Times New Roman" w:hAnsi="Times New Roman"/>
        </w:rPr>
        <w:t>60 % reference value</w:t>
      </w:r>
      <w:r>
        <w:rPr>
          <w:rFonts w:ascii="Times New Roman" w:hAnsi="Times New Roman"/>
        </w:rPr>
        <w:t xml:space="preserve">. In the fourth draft, the European Commission is empowered to propose the time frame for convergence towards the country-specific medium-term objectives considering each country’s sustainability risks. </w:t>
      </w:r>
    </w:p>
    <w:p w14:paraId="7B7C751C" w14:textId="77777777" w:rsidR="001632AF" w:rsidRDefault="001632AF" w:rsidP="001632AF">
      <w:pPr>
        <w:spacing w:line="480" w:lineRule="auto"/>
        <w:ind w:firstLine="540"/>
        <w:jc w:val="both"/>
        <w:rPr>
          <w:rFonts w:ascii="Times New Roman" w:hAnsi="Times New Roman"/>
        </w:rPr>
      </w:pPr>
      <w:r>
        <w:rPr>
          <w:rFonts w:ascii="Times New Roman" w:hAnsi="Times New Roman"/>
        </w:rPr>
        <w:t>One of the important innovations of the Fiscal Compact Treaty lies in the proposal to incorporate these fiscal rules into the national legal system. According to Article 3 (2) in the first draft, the rules mentioned above “</w:t>
      </w:r>
      <w:r w:rsidRPr="0007690C">
        <w:rPr>
          <w:rFonts w:ascii="Times New Roman" w:hAnsi="Times New Roman"/>
        </w:rPr>
        <w:t>shall be</w:t>
      </w:r>
      <w:r>
        <w:rPr>
          <w:rFonts w:ascii="Times New Roman" w:hAnsi="Times New Roman"/>
        </w:rPr>
        <w:t xml:space="preserve"> </w:t>
      </w:r>
      <w:r w:rsidRPr="0007690C">
        <w:rPr>
          <w:rFonts w:ascii="Times New Roman" w:hAnsi="Times New Roman"/>
        </w:rPr>
        <w:t xml:space="preserve">introduced in </w:t>
      </w:r>
      <w:r>
        <w:rPr>
          <w:rFonts w:ascii="Times New Roman" w:hAnsi="Times New Roman"/>
        </w:rPr>
        <w:t xml:space="preserve">national binding provisions of </w:t>
      </w:r>
      <w:r w:rsidRPr="0007690C">
        <w:rPr>
          <w:rFonts w:ascii="Times New Roman" w:hAnsi="Times New Roman"/>
        </w:rPr>
        <w:t>a constitutional or equivalent nature</w:t>
      </w:r>
      <w:r>
        <w:rPr>
          <w:rFonts w:ascii="Times New Roman" w:hAnsi="Times New Roman"/>
        </w:rPr>
        <w:t>”. However, as s</w:t>
      </w:r>
      <w:r w:rsidRPr="00C03CF9">
        <w:rPr>
          <w:rFonts w:ascii="Times New Roman" w:hAnsi="Times New Roman"/>
        </w:rPr>
        <w:t xml:space="preserve">everal countries, </w:t>
      </w:r>
      <w:r>
        <w:rPr>
          <w:rFonts w:ascii="Times New Roman" w:hAnsi="Times New Roman"/>
        </w:rPr>
        <w:t>i</w:t>
      </w:r>
      <w:r w:rsidRPr="00C03CF9">
        <w:rPr>
          <w:rFonts w:ascii="Times New Roman" w:hAnsi="Times New Roman"/>
        </w:rPr>
        <w:t xml:space="preserve">ncluding Denmark, </w:t>
      </w:r>
      <w:r>
        <w:rPr>
          <w:rFonts w:ascii="Times New Roman" w:hAnsi="Times New Roman"/>
        </w:rPr>
        <w:t xml:space="preserve">Finland and </w:t>
      </w:r>
      <w:r w:rsidRPr="00C03CF9">
        <w:rPr>
          <w:rFonts w:ascii="Times New Roman" w:hAnsi="Times New Roman"/>
        </w:rPr>
        <w:t xml:space="preserve">Ireland have indicated that they would have to hold referendums </w:t>
      </w:r>
      <w:r>
        <w:rPr>
          <w:rFonts w:ascii="Times New Roman" w:hAnsi="Times New Roman"/>
        </w:rPr>
        <w:t xml:space="preserve">on constitutional amendments, the third draft watered down the previous requirement, and it now reads </w:t>
      </w:r>
      <w:r w:rsidRPr="00C03CF9">
        <w:rPr>
          <w:rFonts w:ascii="Times New Roman" w:hAnsi="Times New Roman"/>
        </w:rPr>
        <w:t>“</w:t>
      </w:r>
      <w:r w:rsidRPr="003F5B1D">
        <w:rPr>
          <w:rFonts w:ascii="Times New Roman" w:hAnsi="Times New Roman"/>
        </w:rPr>
        <w:t xml:space="preserve">The rules </w:t>
      </w:r>
      <w:r w:rsidRPr="003F5B1D">
        <w:rPr>
          <w:rFonts w:ascii="Times New Roman" w:hAnsi="Times New Roman"/>
        </w:rPr>
        <w:lastRenderedPageBreak/>
        <w:t>mentioned under paragraph 1 shall take effect in the national law of the Contracting Parties at the latest one year after the entry into force of this Treaty through provisions of binding force and permanent character, preferably constitutional, or otherwise guaranteed to be fully respected and adhered to throughout the national budgetary processes.</w:t>
      </w:r>
      <w:r>
        <w:rPr>
          <w:rFonts w:ascii="Times New Roman" w:hAnsi="Times New Roman"/>
        </w:rPr>
        <w:t>”</w:t>
      </w:r>
    </w:p>
    <w:p w14:paraId="70A5B013" w14:textId="77777777" w:rsidR="001632AF" w:rsidRDefault="001632AF" w:rsidP="001632AF">
      <w:pPr>
        <w:spacing w:line="480" w:lineRule="auto"/>
        <w:ind w:firstLine="540"/>
        <w:jc w:val="both"/>
        <w:rPr>
          <w:rFonts w:ascii="Times New Roman" w:hAnsi="Times New Roman"/>
        </w:rPr>
      </w:pPr>
      <w:r>
        <w:rPr>
          <w:rFonts w:ascii="Times New Roman" w:hAnsi="Times New Roman"/>
        </w:rPr>
        <w:t>According to Article 8 (1), the European Court of Justice can verify this national transposition of the balanced budget rule. Under the first draft, “</w:t>
      </w:r>
      <w:r w:rsidRPr="000E0210">
        <w:rPr>
          <w:rFonts w:ascii="Times New Roman" w:hAnsi="Times New Roman"/>
        </w:rPr>
        <w:t>Any Contracting</w:t>
      </w:r>
      <w:r>
        <w:rPr>
          <w:rFonts w:ascii="Times New Roman" w:hAnsi="Times New Roman"/>
        </w:rPr>
        <w:t xml:space="preserve"> </w:t>
      </w:r>
      <w:r w:rsidRPr="000E0210">
        <w:rPr>
          <w:rFonts w:ascii="Times New Roman" w:hAnsi="Times New Roman"/>
        </w:rPr>
        <w:t>Party</w:t>
      </w:r>
      <w:r>
        <w:rPr>
          <w:rFonts w:ascii="Times New Roman" w:hAnsi="Times New Roman"/>
        </w:rPr>
        <w:t xml:space="preserve"> </w:t>
      </w:r>
      <w:r w:rsidRPr="000E0210">
        <w:rPr>
          <w:rFonts w:ascii="Times New Roman" w:hAnsi="Times New Roman"/>
        </w:rPr>
        <w:t>which</w:t>
      </w:r>
      <w:r>
        <w:rPr>
          <w:rFonts w:ascii="Times New Roman" w:hAnsi="Times New Roman"/>
        </w:rPr>
        <w:t xml:space="preserve"> </w:t>
      </w:r>
      <w:r w:rsidRPr="000E0210">
        <w:rPr>
          <w:rFonts w:ascii="Times New Roman" w:hAnsi="Times New Roman"/>
        </w:rPr>
        <w:t>considers</w:t>
      </w:r>
      <w:r>
        <w:rPr>
          <w:rFonts w:ascii="Times New Roman" w:hAnsi="Times New Roman"/>
        </w:rPr>
        <w:t xml:space="preserve"> </w:t>
      </w:r>
      <w:r w:rsidRPr="000E0210">
        <w:rPr>
          <w:rFonts w:ascii="Times New Roman" w:hAnsi="Times New Roman"/>
        </w:rPr>
        <w:t>that</w:t>
      </w:r>
      <w:r>
        <w:rPr>
          <w:rFonts w:ascii="Times New Roman" w:hAnsi="Times New Roman"/>
        </w:rPr>
        <w:t xml:space="preserve"> </w:t>
      </w:r>
      <w:r w:rsidRPr="000E0210">
        <w:rPr>
          <w:rFonts w:ascii="Times New Roman" w:hAnsi="Times New Roman"/>
        </w:rPr>
        <w:t>another</w:t>
      </w:r>
      <w:r>
        <w:rPr>
          <w:rFonts w:ascii="Times New Roman" w:hAnsi="Times New Roman"/>
        </w:rPr>
        <w:t xml:space="preserve"> </w:t>
      </w:r>
      <w:r w:rsidRPr="000E0210">
        <w:rPr>
          <w:rFonts w:ascii="Times New Roman" w:hAnsi="Times New Roman"/>
        </w:rPr>
        <w:t>Contracting</w:t>
      </w:r>
      <w:r>
        <w:rPr>
          <w:rFonts w:ascii="Times New Roman" w:hAnsi="Times New Roman"/>
        </w:rPr>
        <w:t xml:space="preserve"> </w:t>
      </w:r>
      <w:r w:rsidRPr="000E0210">
        <w:rPr>
          <w:rFonts w:ascii="Times New Roman" w:hAnsi="Times New Roman"/>
        </w:rPr>
        <w:t>Party</w:t>
      </w:r>
      <w:r>
        <w:rPr>
          <w:rFonts w:ascii="Times New Roman" w:hAnsi="Times New Roman"/>
        </w:rPr>
        <w:t xml:space="preserve"> </w:t>
      </w:r>
      <w:r w:rsidRPr="000E0210">
        <w:rPr>
          <w:rFonts w:ascii="Times New Roman" w:hAnsi="Times New Roman"/>
        </w:rPr>
        <w:t>has</w:t>
      </w:r>
      <w:r>
        <w:rPr>
          <w:rFonts w:ascii="Times New Roman" w:hAnsi="Times New Roman"/>
        </w:rPr>
        <w:t xml:space="preserve"> </w:t>
      </w:r>
      <w:r w:rsidRPr="000E0210">
        <w:rPr>
          <w:rFonts w:ascii="Times New Roman" w:hAnsi="Times New Roman"/>
        </w:rPr>
        <w:t>failed</w:t>
      </w:r>
      <w:r>
        <w:rPr>
          <w:rFonts w:ascii="Times New Roman" w:hAnsi="Times New Roman"/>
        </w:rPr>
        <w:t xml:space="preserve"> </w:t>
      </w:r>
      <w:r w:rsidRPr="000E0210">
        <w:rPr>
          <w:rFonts w:ascii="Times New Roman" w:hAnsi="Times New Roman"/>
        </w:rPr>
        <w:t>to</w:t>
      </w:r>
      <w:r>
        <w:rPr>
          <w:rFonts w:ascii="Times New Roman" w:hAnsi="Times New Roman"/>
        </w:rPr>
        <w:t xml:space="preserve"> </w:t>
      </w:r>
      <w:r w:rsidRPr="000E0210">
        <w:rPr>
          <w:rFonts w:ascii="Times New Roman" w:hAnsi="Times New Roman"/>
        </w:rPr>
        <w:t>comply</w:t>
      </w:r>
      <w:r>
        <w:rPr>
          <w:rFonts w:ascii="Times New Roman" w:hAnsi="Times New Roman"/>
        </w:rPr>
        <w:t xml:space="preserve"> </w:t>
      </w:r>
      <w:r w:rsidRPr="000E0210">
        <w:rPr>
          <w:rFonts w:ascii="Times New Roman" w:hAnsi="Times New Roman"/>
        </w:rPr>
        <w:t>with Article 3(2) may bring the matter before the Court of Justice of the European Union.”</w:t>
      </w:r>
      <w:r>
        <w:rPr>
          <w:rFonts w:ascii="Times New Roman" w:hAnsi="Times New Roman"/>
        </w:rPr>
        <w:t xml:space="preserve"> The second draft conferred an important role upon the European Commission by changing this provision as the following: “</w:t>
      </w:r>
      <w:r w:rsidRPr="000E0210">
        <w:rPr>
          <w:rFonts w:ascii="Times New Roman" w:hAnsi="Times New Roman"/>
        </w:rPr>
        <w:t>The European Commission may, on behalf of Contracting Parties, bring an action for</w:t>
      </w:r>
      <w:r>
        <w:rPr>
          <w:rFonts w:ascii="Times New Roman" w:hAnsi="Times New Roman"/>
        </w:rPr>
        <w:t xml:space="preserve"> </w:t>
      </w:r>
      <w:r w:rsidRPr="000E0210">
        <w:rPr>
          <w:rFonts w:ascii="Times New Roman" w:hAnsi="Times New Roman"/>
        </w:rPr>
        <w:t>an</w:t>
      </w:r>
      <w:r>
        <w:rPr>
          <w:rFonts w:ascii="Times New Roman" w:hAnsi="Times New Roman"/>
        </w:rPr>
        <w:t xml:space="preserve"> </w:t>
      </w:r>
      <w:r w:rsidRPr="000E0210">
        <w:rPr>
          <w:rFonts w:ascii="Times New Roman" w:hAnsi="Times New Roman"/>
        </w:rPr>
        <w:t>alleged</w:t>
      </w:r>
      <w:r>
        <w:rPr>
          <w:rFonts w:ascii="Times New Roman" w:hAnsi="Times New Roman"/>
        </w:rPr>
        <w:t xml:space="preserve"> </w:t>
      </w:r>
      <w:r w:rsidRPr="000E0210">
        <w:rPr>
          <w:rFonts w:ascii="Times New Roman" w:hAnsi="Times New Roman"/>
        </w:rPr>
        <w:t>infringement</w:t>
      </w:r>
      <w:r>
        <w:rPr>
          <w:rFonts w:ascii="Times New Roman" w:hAnsi="Times New Roman"/>
        </w:rPr>
        <w:t xml:space="preserve"> </w:t>
      </w:r>
      <w:r w:rsidRPr="000E0210">
        <w:rPr>
          <w:rFonts w:ascii="Times New Roman" w:hAnsi="Times New Roman"/>
        </w:rPr>
        <w:t>of</w:t>
      </w:r>
      <w:r>
        <w:rPr>
          <w:rFonts w:ascii="Times New Roman" w:hAnsi="Times New Roman"/>
        </w:rPr>
        <w:t xml:space="preserve"> </w:t>
      </w:r>
      <w:r w:rsidRPr="000E0210">
        <w:rPr>
          <w:rFonts w:ascii="Times New Roman" w:hAnsi="Times New Roman"/>
        </w:rPr>
        <w:t>Title</w:t>
      </w:r>
      <w:r>
        <w:rPr>
          <w:rFonts w:ascii="Times New Roman" w:hAnsi="Times New Roman"/>
        </w:rPr>
        <w:t xml:space="preserve"> </w:t>
      </w:r>
      <w:r w:rsidRPr="000E0210">
        <w:rPr>
          <w:rFonts w:ascii="Times New Roman" w:hAnsi="Times New Roman"/>
        </w:rPr>
        <w:t>III</w:t>
      </w:r>
      <w:r>
        <w:rPr>
          <w:rFonts w:ascii="Times New Roman" w:hAnsi="Times New Roman"/>
        </w:rPr>
        <w:t xml:space="preserve"> </w:t>
      </w:r>
      <w:r w:rsidRPr="000E0210">
        <w:rPr>
          <w:rFonts w:ascii="Times New Roman" w:hAnsi="Times New Roman"/>
        </w:rPr>
        <w:t>before</w:t>
      </w:r>
      <w:r>
        <w:rPr>
          <w:rFonts w:ascii="Times New Roman" w:hAnsi="Times New Roman"/>
        </w:rPr>
        <w:t xml:space="preserve"> </w:t>
      </w:r>
      <w:r w:rsidRPr="000E0210">
        <w:rPr>
          <w:rFonts w:ascii="Times New Roman" w:hAnsi="Times New Roman"/>
        </w:rPr>
        <w:t>the</w:t>
      </w:r>
      <w:r>
        <w:rPr>
          <w:rFonts w:ascii="Times New Roman" w:hAnsi="Times New Roman"/>
        </w:rPr>
        <w:t xml:space="preserve"> </w:t>
      </w:r>
      <w:r w:rsidRPr="000E0210">
        <w:rPr>
          <w:rFonts w:ascii="Times New Roman" w:hAnsi="Times New Roman"/>
        </w:rPr>
        <w:t>Court</w:t>
      </w:r>
      <w:r>
        <w:rPr>
          <w:rFonts w:ascii="Times New Roman" w:hAnsi="Times New Roman"/>
        </w:rPr>
        <w:t xml:space="preserve"> </w:t>
      </w:r>
      <w:r w:rsidRPr="000E0210">
        <w:rPr>
          <w:rFonts w:ascii="Times New Roman" w:hAnsi="Times New Roman"/>
        </w:rPr>
        <w:t>of</w:t>
      </w:r>
      <w:r>
        <w:rPr>
          <w:rFonts w:ascii="Times New Roman" w:hAnsi="Times New Roman"/>
        </w:rPr>
        <w:t xml:space="preserve"> </w:t>
      </w:r>
      <w:r w:rsidRPr="000E0210">
        <w:rPr>
          <w:rFonts w:ascii="Times New Roman" w:hAnsi="Times New Roman"/>
        </w:rPr>
        <w:t>Justice</w:t>
      </w:r>
      <w:r>
        <w:rPr>
          <w:rFonts w:ascii="Times New Roman" w:hAnsi="Times New Roman"/>
        </w:rPr>
        <w:t xml:space="preserve"> </w:t>
      </w:r>
      <w:r w:rsidRPr="000E0210">
        <w:rPr>
          <w:rFonts w:ascii="Times New Roman" w:hAnsi="Times New Roman"/>
        </w:rPr>
        <w:t>of</w:t>
      </w:r>
      <w:r>
        <w:rPr>
          <w:rFonts w:ascii="Times New Roman" w:hAnsi="Times New Roman"/>
        </w:rPr>
        <w:t xml:space="preserve"> </w:t>
      </w:r>
      <w:r w:rsidRPr="000E0210">
        <w:rPr>
          <w:rFonts w:ascii="Times New Roman" w:hAnsi="Times New Roman"/>
        </w:rPr>
        <w:t>the European Union.</w:t>
      </w:r>
      <w:r>
        <w:rPr>
          <w:rFonts w:ascii="Times New Roman" w:hAnsi="Times New Roman"/>
        </w:rPr>
        <w:t>” Moreover, Article 8 (2) confers on the ECJ the power to impose fines on countries that have failed to implement balanced budget rule into national law. Under the fourth draft, it reads “</w:t>
      </w:r>
      <w:r w:rsidRPr="000B40C7">
        <w:rPr>
          <w:rFonts w:ascii="Times New Roman" w:hAnsi="Times New Roman"/>
        </w:rPr>
        <w:t>If the Court finds that the Contracting Party concerned has not complied with its judgment, it may impose on it a lump sum or a penalty payment appropriate in the ci</w:t>
      </w:r>
      <w:r>
        <w:rPr>
          <w:rFonts w:ascii="Times New Roman" w:hAnsi="Times New Roman"/>
        </w:rPr>
        <w:t xml:space="preserve">rcumstances and that shall not </w:t>
      </w:r>
      <w:r w:rsidRPr="000B40C7">
        <w:rPr>
          <w:rFonts w:ascii="Times New Roman" w:hAnsi="Times New Roman"/>
        </w:rPr>
        <w:t>exceed 0</w:t>
      </w:r>
      <w:r>
        <w:rPr>
          <w:rFonts w:ascii="Times New Roman" w:hAnsi="Times New Roman"/>
        </w:rPr>
        <w:t>.</w:t>
      </w:r>
      <w:r w:rsidRPr="000B40C7">
        <w:rPr>
          <w:rFonts w:ascii="Times New Roman" w:hAnsi="Times New Roman"/>
        </w:rPr>
        <w:t xml:space="preserve">1 % of its gross </w:t>
      </w:r>
      <w:r>
        <w:rPr>
          <w:rFonts w:ascii="Times New Roman" w:hAnsi="Times New Roman"/>
        </w:rPr>
        <w:t xml:space="preserve">domestic </w:t>
      </w:r>
      <w:r w:rsidRPr="000B40C7">
        <w:rPr>
          <w:rFonts w:ascii="Times New Roman" w:hAnsi="Times New Roman"/>
        </w:rPr>
        <w:t>product.</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However, this provision never existed until the third draft of the Treaty.</w:t>
      </w:r>
    </w:p>
    <w:p w14:paraId="1F60C150" w14:textId="77777777" w:rsidR="001632AF" w:rsidRDefault="001632AF" w:rsidP="001632AF">
      <w:pPr>
        <w:spacing w:line="480" w:lineRule="auto"/>
        <w:ind w:firstLine="540"/>
        <w:jc w:val="both"/>
        <w:rPr>
          <w:rFonts w:ascii="Times New Roman" w:hAnsi="Times New Roman"/>
        </w:rPr>
      </w:pPr>
      <w:r w:rsidRPr="00FF6F91">
        <w:rPr>
          <w:rFonts w:ascii="Times New Roman" w:hAnsi="Times New Roman"/>
        </w:rPr>
        <w:t xml:space="preserve">The </w:t>
      </w:r>
      <w:r>
        <w:rPr>
          <w:rFonts w:ascii="Times New Roman" w:hAnsi="Times New Roman"/>
        </w:rPr>
        <w:t>F</w:t>
      </w:r>
      <w:r w:rsidRPr="00FF6F91">
        <w:rPr>
          <w:rFonts w:ascii="Times New Roman" w:hAnsi="Times New Roman"/>
        </w:rPr>
        <w:t xml:space="preserve">iscal </w:t>
      </w:r>
      <w:r>
        <w:rPr>
          <w:rFonts w:ascii="Times New Roman" w:hAnsi="Times New Roman"/>
        </w:rPr>
        <w:t>C</w:t>
      </w:r>
      <w:r w:rsidRPr="00FF6F91">
        <w:rPr>
          <w:rFonts w:ascii="Times New Roman" w:hAnsi="Times New Roman"/>
        </w:rPr>
        <w:t xml:space="preserve">ompact also reinforces budgetary rules by incorporating a commitment made by euro area contracting parties to adopt </w:t>
      </w:r>
      <w:r>
        <w:rPr>
          <w:rFonts w:ascii="Times New Roman" w:hAnsi="Times New Roman"/>
        </w:rPr>
        <w:t>the</w:t>
      </w:r>
      <w:r w:rsidRPr="00FF6F91">
        <w:rPr>
          <w:rFonts w:ascii="Times New Roman" w:hAnsi="Times New Roman"/>
        </w:rPr>
        <w:t xml:space="preserve"> recommendations and</w:t>
      </w:r>
      <w:r>
        <w:rPr>
          <w:rFonts w:ascii="Times New Roman" w:hAnsi="Times New Roman"/>
        </w:rPr>
        <w:t xml:space="preserve"> </w:t>
      </w:r>
      <w:r w:rsidRPr="00FF6F91">
        <w:rPr>
          <w:rFonts w:ascii="Times New Roman" w:hAnsi="Times New Roman"/>
        </w:rPr>
        <w:t>decisions</w:t>
      </w:r>
      <w:r>
        <w:rPr>
          <w:rFonts w:ascii="Times New Roman" w:hAnsi="Times New Roman"/>
        </w:rPr>
        <w:t xml:space="preserve"> submitted by the European Commission</w:t>
      </w:r>
      <w:r w:rsidRPr="00FF6F91">
        <w:rPr>
          <w:rFonts w:ascii="Times New Roman" w:hAnsi="Times New Roman"/>
        </w:rPr>
        <w:t xml:space="preserve"> under the excessive deficit procedure unless </w:t>
      </w:r>
      <w:r>
        <w:rPr>
          <w:rFonts w:ascii="Times New Roman" w:hAnsi="Times New Roman"/>
        </w:rPr>
        <w:t xml:space="preserve">opposed by a qualified majority (known as “reverse qualified majority”), as shown in Article 7. While this rule was never </w:t>
      </w:r>
      <w:r>
        <w:rPr>
          <w:rFonts w:ascii="Times New Roman" w:hAnsi="Times New Roman"/>
        </w:rPr>
        <w:lastRenderedPageBreak/>
        <w:t>changed, the third draft limited its scope to national deficit with an exclusion of national debt, as a concession to Italy’s demand (Kreilinger 2012: 3).</w:t>
      </w:r>
      <w:r>
        <w:rPr>
          <w:rStyle w:val="FootnoteReference"/>
          <w:rFonts w:ascii="Times New Roman" w:hAnsi="Times New Roman"/>
        </w:rPr>
        <w:footnoteReference w:id="3"/>
      </w:r>
    </w:p>
    <w:p w14:paraId="5DE4F001" w14:textId="77777777" w:rsidR="001632AF" w:rsidRDefault="001632AF" w:rsidP="001632AF">
      <w:pPr>
        <w:spacing w:line="480" w:lineRule="auto"/>
        <w:ind w:firstLine="540"/>
        <w:jc w:val="both"/>
        <w:rPr>
          <w:rFonts w:ascii="Times New Roman" w:hAnsi="Times New Roman"/>
        </w:rPr>
      </w:pPr>
      <w:r>
        <w:rPr>
          <w:rFonts w:ascii="Times New Roman" w:hAnsi="Times New Roman"/>
        </w:rPr>
        <w:t>In addition to Title III on the fiscal rules, the Council press release points out several important provisions on the governance of euro area, and on the legal procedures. First, although there have not been significant modifications except for the minor wording changes over the negotiations, the Council press release remarks on the requirement for Euro Summit meetings to take place at least twice a year (Article 12.2). Second, the press release also indicates the necessary steps to incorporate the provisions of the new treaty into the legal framework of the EU are to be taken within five years of its entry into force (Article 16). This provision was newly added in the second draft of the Treaty, and a slight wording change was made in the third draft. Lastly, it is notable that all the euro countries are not required to ratify for the Treaty to enter into force. In the first draft, only nine eurozone countries are required to ratify for the Treaty to come to have legal force and effect (Article 14 (2)). This number of countries changed into fifteen in the second draft, and finally twelve in the third draft.</w:t>
      </w:r>
      <w:commentRangeEnd w:id="1"/>
      <w:r>
        <w:rPr>
          <w:rStyle w:val="CommentReference"/>
        </w:rPr>
        <w:commentReference w:id="1"/>
      </w:r>
    </w:p>
    <w:p w14:paraId="32D83D51" w14:textId="77777777" w:rsidR="001632AF" w:rsidRDefault="001632AF" w:rsidP="001632AF">
      <w:pPr>
        <w:spacing w:line="480" w:lineRule="auto"/>
        <w:ind w:firstLine="540"/>
        <w:jc w:val="both"/>
        <w:rPr>
          <w:rFonts w:ascii="Times New Roman" w:hAnsi="Times New Roman"/>
        </w:rPr>
      </w:pPr>
      <w:r>
        <w:rPr>
          <w:rFonts w:ascii="Times New Roman" w:hAnsi="Times New Roman"/>
        </w:rPr>
        <w:t>We also included one additional change across drafts in the category of the important provisions: the title of the document. The title of the document changed from “International Agreement on Reinforced Economic Union” (1st draft), to “International Treaty on Reinforced Economic Union” (2nd draft), and finally to “</w:t>
      </w:r>
      <w:r w:rsidRPr="000B70DA">
        <w:rPr>
          <w:rFonts w:ascii="Times New Roman" w:hAnsi="Times New Roman"/>
        </w:rPr>
        <w:t xml:space="preserve">Treaty on </w:t>
      </w:r>
      <w:r>
        <w:rPr>
          <w:rFonts w:ascii="Times New Roman" w:hAnsi="Times New Roman"/>
        </w:rPr>
        <w:t>S</w:t>
      </w:r>
      <w:r w:rsidRPr="000B70DA">
        <w:rPr>
          <w:rFonts w:ascii="Times New Roman" w:hAnsi="Times New Roman"/>
        </w:rPr>
        <w:t xml:space="preserve">tability, </w:t>
      </w:r>
      <w:r>
        <w:rPr>
          <w:rFonts w:ascii="Times New Roman" w:hAnsi="Times New Roman"/>
        </w:rPr>
        <w:t>C</w:t>
      </w:r>
      <w:r w:rsidRPr="000B70DA">
        <w:rPr>
          <w:rFonts w:ascii="Times New Roman" w:hAnsi="Times New Roman"/>
        </w:rPr>
        <w:t xml:space="preserve">o-ordination and </w:t>
      </w:r>
      <w:r>
        <w:rPr>
          <w:rFonts w:ascii="Times New Roman" w:hAnsi="Times New Roman"/>
        </w:rPr>
        <w:t>G</w:t>
      </w:r>
      <w:r w:rsidRPr="000B70DA">
        <w:rPr>
          <w:rFonts w:ascii="Times New Roman" w:hAnsi="Times New Roman"/>
        </w:rPr>
        <w:t>overnance</w:t>
      </w:r>
      <w:r>
        <w:rPr>
          <w:rFonts w:ascii="Times New Roman" w:hAnsi="Times New Roman"/>
        </w:rPr>
        <w:t xml:space="preserve"> </w:t>
      </w:r>
      <w:r w:rsidRPr="000B70DA">
        <w:rPr>
          <w:rFonts w:ascii="Times New Roman" w:hAnsi="Times New Roman"/>
        </w:rPr>
        <w:t>in the</w:t>
      </w:r>
      <w:r>
        <w:rPr>
          <w:rFonts w:ascii="Times New Roman" w:hAnsi="Times New Roman"/>
        </w:rPr>
        <w:t xml:space="preserve"> E</w:t>
      </w:r>
      <w:r w:rsidRPr="000B70DA">
        <w:rPr>
          <w:rFonts w:ascii="Times New Roman" w:hAnsi="Times New Roman"/>
        </w:rPr>
        <w:t xml:space="preserve">conomic and </w:t>
      </w:r>
      <w:r>
        <w:rPr>
          <w:rFonts w:ascii="Times New Roman" w:hAnsi="Times New Roman"/>
        </w:rPr>
        <w:t>M</w:t>
      </w:r>
      <w:r w:rsidRPr="000B70DA">
        <w:rPr>
          <w:rFonts w:ascii="Times New Roman" w:hAnsi="Times New Roman"/>
        </w:rPr>
        <w:t>onetary</w:t>
      </w:r>
      <w:r>
        <w:rPr>
          <w:rFonts w:ascii="Times New Roman" w:hAnsi="Times New Roman"/>
        </w:rPr>
        <w:t xml:space="preserve"> </w:t>
      </w:r>
      <w:r w:rsidRPr="000B70DA">
        <w:rPr>
          <w:rFonts w:ascii="Times New Roman" w:hAnsi="Times New Roman"/>
        </w:rPr>
        <w:t>union</w:t>
      </w:r>
      <w:r>
        <w:rPr>
          <w:rFonts w:ascii="Times New Roman" w:hAnsi="Times New Roman"/>
        </w:rPr>
        <w:t>” (3rd draft). The broad concept of a “reinforced economic union” which reflected early stages of negotiations has been specified as shown in the long title of the final version.</w:t>
      </w:r>
    </w:p>
    <w:p w14:paraId="2CB515EF" w14:textId="77777777" w:rsidR="000E4602" w:rsidRDefault="000E4602"/>
    <w:sectPr w:rsidR="000E4602">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yeonho Hahm" w:date="2014-05-02T14:25:00Z" w:initials="HH">
    <w:p w14:paraId="1AB3F10B" w14:textId="77777777" w:rsidR="001632AF" w:rsidRDefault="001632AF" w:rsidP="001632AF">
      <w:pPr>
        <w:pStyle w:val="CommentText"/>
      </w:pPr>
      <w:r>
        <w:rPr>
          <w:rStyle w:val="CommentReference"/>
        </w:rPr>
        <w:annotationRef/>
      </w:r>
      <w:r>
        <w:t>This is the part where the first reviewer suggested a summary table. Actually, I already pointed out which provisions are classified as “important”, and these paragraphs are describing what each provision is. We may dramatically cut out this whole part, and maybe we can upload it as a supplementary document. Since we already have an appendix where they can check what are the important provisions are, I don’t necessarily think that we need create another table to indicate which provisions are important. But if you still want, I can create it, although it may be slightly redundant to our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3F1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69C4" w14:textId="77777777" w:rsidR="007853A2" w:rsidRDefault="007853A2" w:rsidP="001632AF">
      <w:r>
        <w:separator/>
      </w:r>
    </w:p>
  </w:endnote>
  <w:endnote w:type="continuationSeparator" w:id="0">
    <w:p w14:paraId="523AD06B" w14:textId="77777777" w:rsidR="007853A2" w:rsidRDefault="007853A2" w:rsidP="0016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9D199" w14:textId="77777777" w:rsidR="007853A2" w:rsidRDefault="007853A2" w:rsidP="001632AF">
      <w:r>
        <w:separator/>
      </w:r>
    </w:p>
  </w:footnote>
  <w:footnote w:type="continuationSeparator" w:id="0">
    <w:p w14:paraId="1F421E63" w14:textId="77777777" w:rsidR="007853A2" w:rsidRDefault="007853A2" w:rsidP="001632AF">
      <w:r>
        <w:continuationSeparator/>
      </w:r>
    </w:p>
  </w:footnote>
  <w:footnote w:id="1">
    <w:p w14:paraId="17A25F06" w14:textId="77777777" w:rsidR="001632AF" w:rsidRPr="0084116C" w:rsidRDefault="001632AF" w:rsidP="001632AF">
      <w:pPr>
        <w:pStyle w:val="FootnoteText"/>
        <w:jc w:val="both"/>
        <w:rPr>
          <w:rFonts w:ascii="Times New Roman" w:eastAsia="Malgun Gothic" w:hAnsi="Times New Roman" w:cs="Times New Roman"/>
          <w:sz w:val="22"/>
          <w:szCs w:val="22"/>
          <w:lang w:eastAsia="ko-KR"/>
        </w:rPr>
      </w:pPr>
      <w:r w:rsidRPr="0084116C">
        <w:rPr>
          <w:rStyle w:val="FootnoteReference"/>
          <w:rFonts w:ascii="Times New Roman" w:hAnsi="Times New Roman" w:cs="Times New Roman"/>
          <w:sz w:val="22"/>
          <w:szCs w:val="22"/>
        </w:rPr>
        <w:footnoteRef/>
      </w:r>
      <w:r w:rsidRPr="0084116C">
        <w:rPr>
          <w:rFonts w:ascii="Times New Roman" w:hAnsi="Times New Roman" w:cs="Times New Roman"/>
          <w:sz w:val="22"/>
          <w:szCs w:val="22"/>
        </w:rPr>
        <w:t xml:space="preserve"> </w:t>
      </w:r>
      <w:r w:rsidRPr="0084116C">
        <w:rPr>
          <w:rFonts w:ascii="Times New Roman" w:eastAsia="Malgun Gothic" w:hAnsi="Times New Roman" w:cs="Times New Roman"/>
          <w:sz w:val="22"/>
          <w:szCs w:val="22"/>
          <w:lang w:eastAsia="ko-KR"/>
        </w:rPr>
        <w:t xml:space="preserve">Note that only the provisions which went through any modification are included in our dataset. For example, Article 14 (4) and Article 14 (5) are briefly mentioned in this press release, but they are not included in our dataset as they did not go through any modification over the negotiation process. For the details, please refer to the author’s website: </w:t>
      </w:r>
      <w:hyperlink r:id="rId1" w:history="1">
        <w:r w:rsidRPr="001F058E">
          <w:rPr>
            <w:rStyle w:val="Hyperlink"/>
            <w:rFonts w:ascii="Times New Roman" w:eastAsia="Malgun Gothic" w:hAnsi="Times New Roman" w:cs="Times New Roman"/>
            <w:sz w:val="22"/>
            <w:szCs w:val="22"/>
            <w:lang w:eastAsia="ko-KR"/>
          </w:rPr>
          <w:t>http://sitemaker.umich.edu/tsebelis/fiscal_compact_data</w:t>
        </w:r>
      </w:hyperlink>
      <w:r w:rsidRPr="0084116C">
        <w:rPr>
          <w:rFonts w:ascii="Times New Roman" w:eastAsia="Malgun Gothic" w:hAnsi="Times New Roman" w:cs="Times New Roman"/>
          <w:sz w:val="22"/>
          <w:szCs w:val="22"/>
          <w:lang w:eastAsia="ko-KR"/>
        </w:rPr>
        <w:t>.</w:t>
      </w:r>
    </w:p>
  </w:footnote>
  <w:footnote w:id="2">
    <w:p w14:paraId="4B242DD0" w14:textId="77777777" w:rsidR="001632AF" w:rsidRPr="0069396F" w:rsidRDefault="001632AF" w:rsidP="001632AF">
      <w:pPr>
        <w:pStyle w:val="FootnoteText"/>
        <w:jc w:val="both"/>
        <w:rPr>
          <w:rFonts w:ascii="Times New Roman" w:eastAsia="Malgun Gothic" w:hAnsi="Times New Roman" w:cs="Times New Roman"/>
          <w:sz w:val="22"/>
          <w:szCs w:val="22"/>
          <w:lang w:eastAsia="ko-KR"/>
        </w:rPr>
      </w:pPr>
      <w:r w:rsidRPr="0084116C">
        <w:rPr>
          <w:rStyle w:val="FootnoteReference"/>
          <w:rFonts w:ascii="Times New Roman" w:hAnsi="Times New Roman" w:cs="Times New Roman"/>
          <w:sz w:val="22"/>
          <w:szCs w:val="22"/>
        </w:rPr>
        <w:footnoteRef/>
      </w:r>
      <w:r w:rsidRPr="0084116C">
        <w:rPr>
          <w:rFonts w:ascii="Times New Roman" w:hAnsi="Times New Roman" w:cs="Times New Roman"/>
          <w:sz w:val="22"/>
          <w:szCs w:val="22"/>
        </w:rPr>
        <w:t xml:space="preserve"> Through a modification in the fifth draft, this final draft reads as the following: “The amounts imposed on a Contracting Party whose currency is the euro shall be payable to the European Stability Mechanism. In other cases, payments shall be made to the general budget of the European Union.”</w:t>
      </w:r>
    </w:p>
  </w:footnote>
  <w:footnote w:id="3">
    <w:p w14:paraId="45FE6D16" w14:textId="77777777" w:rsidR="001632AF" w:rsidRPr="005A0F29" w:rsidRDefault="001632AF" w:rsidP="001632AF">
      <w:pPr>
        <w:pStyle w:val="FootnoteText"/>
        <w:jc w:val="both"/>
        <w:rPr>
          <w:rFonts w:ascii="Times New Roman" w:eastAsia="Malgun Gothic" w:hAnsi="Times New Roman" w:cs="Times New Roman"/>
          <w:sz w:val="22"/>
          <w:szCs w:val="22"/>
          <w:lang w:eastAsia="ko-KR"/>
        </w:rPr>
      </w:pPr>
      <w:r w:rsidRPr="0084116C">
        <w:rPr>
          <w:rStyle w:val="FootnoteReference"/>
          <w:rFonts w:ascii="Times New Roman" w:hAnsi="Times New Roman" w:cs="Times New Roman"/>
          <w:sz w:val="22"/>
          <w:szCs w:val="22"/>
        </w:rPr>
        <w:footnoteRef/>
      </w:r>
      <w:r w:rsidRPr="0084116C">
        <w:rPr>
          <w:rFonts w:ascii="Times New Roman" w:hAnsi="Times New Roman" w:cs="Times New Roman"/>
          <w:sz w:val="22"/>
          <w:szCs w:val="22"/>
        </w:rPr>
        <w:t xml:space="preserve"> The “reverse qualified majority” is a procedure that gives particular weight to the agenda setter of a process: The submitted proposal stands unless a qualified majority decides to change it</w:t>
      </w:r>
      <w:r w:rsidRPr="0069396F">
        <w:rPr>
          <w:rFonts w:ascii="Times New Roman" w:hAnsi="Times New Roman" w:cs="Times New Roman"/>
          <w:sz w:val="22"/>
          <w:szCs w:val="22"/>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eonho Hahm">
    <w15:presenceInfo w15:providerId="Windows Live" w15:userId="5b1df0f2530b3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AF"/>
    <w:rsid w:val="000E4602"/>
    <w:rsid w:val="001632AF"/>
    <w:rsid w:val="007853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F893"/>
  <w15:chartTrackingRefBased/>
  <w15:docId w15:val="{C200153D-58CF-4B2C-B206-D7DF05A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A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32AF"/>
  </w:style>
  <w:style w:type="character" w:customStyle="1" w:styleId="FootnoteTextChar">
    <w:name w:val="Footnote Text Char"/>
    <w:basedOn w:val="DefaultParagraphFont"/>
    <w:link w:val="FootnoteText"/>
    <w:uiPriority w:val="99"/>
    <w:rsid w:val="001632AF"/>
    <w:rPr>
      <w:sz w:val="24"/>
      <w:szCs w:val="24"/>
      <w:lang w:eastAsia="en-US"/>
    </w:rPr>
  </w:style>
  <w:style w:type="character" w:styleId="FootnoteReference">
    <w:name w:val="footnote reference"/>
    <w:basedOn w:val="DefaultParagraphFont"/>
    <w:uiPriority w:val="99"/>
    <w:unhideWhenUsed/>
    <w:rsid w:val="001632AF"/>
    <w:rPr>
      <w:vertAlign w:val="superscript"/>
    </w:rPr>
  </w:style>
  <w:style w:type="character" w:styleId="Hyperlink">
    <w:name w:val="Hyperlink"/>
    <w:basedOn w:val="DefaultParagraphFont"/>
    <w:uiPriority w:val="99"/>
    <w:unhideWhenUsed/>
    <w:rsid w:val="001632AF"/>
    <w:rPr>
      <w:color w:val="0000FF"/>
      <w:u w:val="single"/>
    </w:rPr>
  </w:style>
  <w:style w:type="character" w:styleId="CommentReference">
    <w:name w:val="annotation reference"/>
    <w:basedOn w:val="DefaultParagraphFont"/>
    <w:uiPriority w:val="99"/>
    <w:semiHidden/>
    <w:unhideWhenUsed/>
    <w:rsid w:val="001632AF"/>
    <w:rPr>
      <w:sz w:val="16"/>
      <w:szCs w:val="16"/>
    </w:rPr>
  </w:style>
  <w:style w:type="paragraph" w:styleId="CommentText">
    <w:name w:val="annotation text"/>
    <w:basedOn w:val="Normal"/>
    <w:link w:val="CommentTextChar"/>
    <w:uiPriority w:val="99"/>
    <w:unhideWhenUsed/>
    <w:rsid w:val="001632AF"/>
    <w:rPr>
      <w:sz w:val="20"/>
      <w:szCs w:val="20"/>
    </w:rPr>
  </w:style>
  <w:style w:type="character" w:customStyle="1" w:styleId="CommentTextChar">
    <w:name w:val="Comment Text Char"/>
    <w:basedOn w:val="DefaultParagraphFont"/>
    <w:link w:val="CommentText"/>
    <w:uiPriority w:val="99"/>
    <w:rsid w:val="001632A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temaker.umich.edu/tsebelis/fiscal_compact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Hyeonho Hahm</dc:creator>
  <cp:keywords/>
  <dc:description/>
  <cp:lastModifiedBy>Hyeonho Hahm</cp:lastModifiedBy>
  <cp:revision>1</cp:revision>
  <dcterms:created xsi:type="dcterms:W3CDTF">2014-05-02T20:02:00Z</dcterms:created>
  <dcterms:modified xsi:type="dcterms:W3CDTF">2014-05-02T20:02:00Z</dcterms:modified>
</cp:coreProperties>
</file>