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7AE3" w14:textId="01389F33" w:rsidR="00AA32E8" w:rsidRDefault="00AD60BD" w:rsidP="00AA32E8">
      <w:pPr>
        <w:contextualSpacing w:val="0"/>
        <w:jc w:val="center"/>
        <w:rPr>
          <w:noProof/>
        </w:rPr>
      </w:pPr>
      <w:r>
        <w:rPr>
          <w:noProof/>
        </w:rPr>
        <w:drawing>
          <wp:inline distT="0" distB="0" distL="0" distR="0" wp14:anchorId="68F24847" wp14:editId="31CBC255">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7440056C" w14:textId="77777777" w:rsidR="00AD60BD" w:rsidRDefault="00AD60BD" w:rsidP="00AA32E8">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AA32E8" w14:paraId="3C245A9E" w14:textId="77777777" w:rsidTr="00891287">
        <w:trPr>
          <w:trHeight w:val="155"/>
        </w:trPr>
        <w:tc>
          <w:tcPr>
            <w:tcW w:w="11160" w:type="dxa"/>
            <w:tcMar>
              <w:top w:w="140" w:type="dxa"/>
              <w:left w:w="108" w:type="dxa"/>
              <w:right w:w="140" w:type="dxa"/>
            </w:tcMar>
          </w:tcPr>
          <w:p w14:paraId="5AD518C6" w14:textId="14BC91BF" w:rsidR="00AA32E8" w:rsidRPr="00CA4D94" w:rsidRDefault="00AA32E8" w:rsidP="00891287">
            <w:pPr>
              <w:contextualSpacing w:val="0"/>
              <w:jc w:val="center"/>
              <w:rPr>
                <w:sz w:val="28"/>
                <w:szCs w:val="22"/>
              </w:rPr>
            </w:pPr>
            <w:r>
              <w:rPr>
                <w:rFonts w:ascii="Calibri" w:eastAsia="Calibri" w:hAnsi="Calibri" w:cs="Calibri"/>
                <w:b/>
                <w:sz w:val="28"/>
                <w:szCs w:val="22"/>
              </w:rPr>
              <w:t>Jigsaw Collaborative Discussion Method</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AA32E8" w14:paraId="59C8E498" w14:textId="77777777" w:rsidTr="001155C2">
        <w:trPr>
          <w:trHeight w:val="200"/>
        </w:trPr>
        <w:tc>
          <w:tcPr>
            <w:tcW w:w="1880" w:type="dxa"/>
            <w:shd w:val="clear" w:color="auto" w:fill="F2F2F2" w:themeFill="background1" w:themeFillShade="F2"/>
            <w:tcMar>
              <w:top w:w="140" w:type="dxa"/>
              <w:left w:w="108" w:type="dxa"/>
              <w:right w:w="140" w:type="dxa"/>
            </w:tcMar>
          </w:tcPr>
          <w:p w14:paraId="59B52E72" w14:textId="77777777" w:rsidR="00AA32E8" w:rsidRPr="00291B25" w:rsidRDefault="00AA32E8" w:rsidP="00891287">
            <w:pPr>
              <w:contextualSpacing w:val="0"/>
              <w:rPr>
                <w:rFonts w:asciiTheme="minorHAnsi" w:hAnsiTheme="minorHAnsi" w:cstheme="minorHAnsi"/>
                <w:color w:val="000000" w:themeColor="text1"/>
                <w:szCs w:val="24"/>
              </w:rPr>
            </w:pPr>
            <w:r w:rsidRPr="00291B25">
              <w:rPr>
                <w:rFonts w:asciiTheme="minorHAnsi" w:eastAsia="Calibri" w:hAnsiTheme="minorHAnsi" w:cstheme="minorHAnsi"/>
                <w:b/>
                <w:color w:val="000000" w:themeColor="text1"/>
                <w:szCs w:val="24"/>
              </w:rPr>
              <w:t>Overview</w:t>
            </w:r>
          </w:p>
        </w:tc>
        <w:tc>
          <w:tcPr>
            <w:tcW w:w="9290" w:type="dxa"/>
            <w:tcMar>
              <w:top w:w="140" w:type="dxa"/>
              <w:left w:w="108" w:type="dxa"/>
              <w:right w:w="140" w:type="dxa"/>
            </w:tcMar>
          </w:tcPr>
          <w:p w14:paraId="46ED9761" w14:textId="6866F225" w:rsidR="00AA32E8" w:rsidRPr="00291B25" w:rsidRDefault="00AA32E8" w:rsidP="00891287">
            <w:pPr>
              <w:contextualSpacing w:val="0"/>
              <w:rPr>
                <w:rFonts w:asciiTheme="minorHAnsi" w:hAnsiTheme="minorHAnsi" w:cstheme="minorHAnsi"/>
                <w:color w:val="000000" w:themeColor="text1"/>
              </w:rPr>
            </w:pPr>
            <w:r w:rsidRPr="00291B25">
              <w:rPr>
                <w:rFonts w:asciiTheme="minorHAnsi" w:hAnsiTheme="minorHAnsi" w:cstheme="minorHAnsi"/>
                <w:color w:val="000000" w:themeColor="text1"/>
                <w:bdr w:val="none" w:sz="0" w:space="0" w:color="auto" w:frame="1"/>
                <w:shd w:val="clear" w:color="auto" w:fill="FFFFFF"/>
              </w:rPr>
              <w:t xml:space="preserve">This page introduces the Jigsaw method and describes how to use this method in classroom activities. </w:t>
            </w:r>
            <w:r w:rsidR="00835C32">
              <w:rPr>
                <w:rFonts w:asciiTheme="minorHAnsi" w:hAnsiTheme="minorHAnsi" w:cstheme="minorHAnsi"/>
                <w:color w:val="000000" w:themeColor="text1"/>
                <w:bdr w:val="none" w:sz="0" w:space="0" w:color="auto" w:frame="1"/>
                <w:shd w:val="clear" w:color="auto" w:fill="FFFFFF"/>
              </w:rPr>
              <w:t xml:space="preserve">The </w:t>
            </w:r>
            <w:r w:rsidRPr="00291B25">
              <w:rPr>
                <w:rFonts w:asciiTheme="minorHAnsi" w:hAnsiTheme="minorHAnsi" w:cstheme="minorHAnsi"/>
                <w:color w:val="000000" w:themeColor="text1"/>
                <w:bdr w:val="none" w:sz="0" w:space="0" w:color="auto" w:frame="1"/>
                <w:shd w:val="clear" w:color="auto" w:fill="FFFFFF"/>
              </w:rPr>
              <w:t xml:space="preserve">Jigsaw was first developed as a way to combat racial bias among elementary school students. In the early 1970s, social psychologist Elliot Aronson developed this method after being asked to help diffuse tension in classrooms where black, Hispanic, and white students had recently been integrated. Aronson and his team observed that the students were learning in a competitive environment. With his research team, he recommended creating a cooperative environment where students had to depend on each other to learn assigned material well. In just a few weeks, students initially hostile to one another were, instead, encouraging each other to succeed and learn the material well. Racial tensions were largely diffused, and students learned the assigned material with a higher level of mastery. </w:t>
            </w:r>
            <w:hyperlink r:id="rId6" w:history="1">
              <w:r w:rsidR="00BA4E4E" w:rsidRPr="00BA4E4E">
                <w:rPr>
                  <w:rStyle w:val="Hyperlink"/>
                  <w:rFonts w:asciiTheme="minorHAnsi" w:hAnsiTheme="minorHAnsi" w:cstheme="minorHAnsi"/>
                </w:rPr>
                <w:t>Read a letter</w:t>
              </w:r>
            </w:hyperlink>
            <w:r w:rsidR="00BA4E4E">
              <w:rPr>
                <w:rFonts w:asciiTheme="minorHAnsi" w:hAnsiTheme="minorHAnsi" w:cstheme="minorHAnsi"/>
                <w:color w:val="000000" w:themeColor="text1"/>
              </w:rPr>
              <w:t xml:space="preserve"> </w:t>
            </w:r>
            <w:r w:rsidR="00047012" w:rsidRPr="00291B25">
              <w:rPr>
                <w:rStyle w:val="Hyperlink"/>
                <w:rFonts w:asciiTheme="minorHAnsi" w:hAnsiTheme="minorHAnsi" w:cstheme="minorHAnsi"/>
                <w:color w:val="000000" w:themeColor="text1"/>
                <w:u w:val="none"/>
                <w:bdr w:val="none" w:sz="0" w:space="0" w:color="auto" w:frame="1"/>
                <w:shd w:val="clear" w:color="auto" w:fill="FFFFFF"/>
              </w:rPr>
              <w:t>from one of the students in this first Jigsaw classroom.</w:t>
            </w:r>
            <w:r w:rsidR="00B170A8" w:rsidRPr="00291B25">
              <w:rPr>
                <w:rFonts w:asciiTheme="minorHAnsi" w:hAnsiTheme="minorHAnsi" w:cstheme="minorHAnsi"/>
                <w:color w:val="000000" w:themeColor="text1"/>
                <w:bdr w:val="none" w:sz="0" w:space="0" w:color="auto" w:frame="1"/>
                <w:shd w:val="clear" w:color="auto" w:fill="FFFFFF"/>
              </w:rPr>
              <w:t xml:space="preserve"> </w:t>
            </w:r>
          </w:p>
          <w:p w14:paraId="4867A3AB" w14:textId="77777777" w:rsidR="00AA32E8" w:rsidRPr="00291B25" w:rsidRDefault="00AA32E8" w:rsidP="00891287">
            <w:pPr>
              <w:contextualSpacing w:val="0"/>
              <w:rPr>
                <w:rFonts w:asciiTheme="minorHAnsi" w:hAnsiTheme="minorHAnsi" w:cstheme="minorHAnsi"/>
                <w:color w:val="000000" w:themeColor="text1"/>
              </w:rPr>
            </w:pPr>
          </w:p>
          <w:p w14:paraId="71C98AF4" w14:textId="3514AB1A" w:rsidR="00AA32E8" w:rsidRDefault="00AA32E8" w:rsidP="00891287">
            <w:pPr>
              <w:contextualSpacing w:val="0"/>
              <w:rPr>
                <w:rFonts w:asciiTheme="minorHAnsi" w:hAnsiTheme="minorHAnsi" w:cstheme="minorHAnsi"/>
                <w:color w:val="000000" w:themeColor="text1"/>
                <w:shd w:val="clear" w:color="auto" w:fill="FFFFFF"/>
              </w:rPr>
            </w:pPr>
            <w:r w:rsidRPr="00291B25">
              <w:rPr>
                <w:rFonts w:asciiTheme="minorHAnsi" w:hAnsiTheme="minorHAnsi" w:cstheme="minorHAnsi"/>
                <w:color w:val="000000" w:themeColor="text1"/>
                <w:shd w:val="clear" w:color="auto" w:fill="FFFFFF"/>
              </w:rPr>
              <w:t>Research has shown this method is useful for learners of all ages. The primary strategy is to create assignments and activities that allow students to cultivate topic-specific expertise and then teach the material they have learned to other students in the class. Student groups are then asked to draw on everyone’s expertise to complete a task together or prepare for an individual exam.</w:t>
            </w:r>
          </w:p>
          <w:p w14:paraId="74F4DDAF" w14:textId="77777777" w:rsidR="00AD60BD" w:rsidRPr="00291B25" w:rsidRDefault="00AD60BD" w:rsidP="00891287">
            <w:pPr>
              <w:contextualSpacing w:val="0"/>
              <w:rPr>
                <w:rFonts w:asciiTheme="minorHAnsi" w:hAnsiTheme="minorHAnsi" w:cstheme="minorHAnsi"/>
                <w:color w:val="000000" w:themeColor="text1"/>
                <w:shd w:val="clear" w:color="auto" w:fill="FFFFFF"/>
              </w:rPr>
            </w:pPr>
          </w:p>
          <w:p w14:paraId="6E47F683" w14:textId="5BE49C83" w:rsidR="00AA32E8" w:rsidRPr="00291B25" w:rsidRDefault="00AA32E8" w:rsidP="00AA32E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AA32E8" w14:paraId="629AB0F1" w14:textId="77777777" w:rsidTr="001155C2">
        <w:trPr>
          <w:trHeight w:val="938"/>
        </w:trPr>
        <w:tc>
          <w:tcPr>
            <w:tcW w:w="1880" w:type="dxa"/>
            <w:shd w:val="clear" w:color="auto" w:fill="F2F2F2" w:themeFill="background1" w:themeFillShade="F2"/>
            <w:tcMar>
              <w:top w:w="140" w:type="dxa"/>
              <w:left w:w="108" w:type="dxa"/>
              <w:right w:w="140" w:type="dxa"/>
            </w:tcMar>
          </w:tcPr>
          <w:p w14:paraId="0AF66F5E" w14:textId="77777777" w:rsidR="00AA32E8" w:rsidRPr="00291B25" w:rsidRDefault="00AA32E8" w:rsidP="00891287">
            <w:pPr>
              <w:contextualSpacing w:val="0"/>
              <w:rPr>
                <w:rFonts w:asciiTheme="minorHAnsi" w:eastAsia="Calibri" w:hAnsiTheme="minorHAnsi" w:cstheme="minorHAnsi"/>
                <w:color w:val="000000" w:themeColor="text1"/>
                <w:szCs w:val="24"/>
              </w:rPr>
            </w:pPr>
            <w:r w:rsidRPr="00291B25">
              <w:rPr>
                <w:rFonts w:asciiTheme="minorHAnsi" w:eastAsia="Calibri" w:hAnsiTheme="minorHAnsi" w:cstheme="minorHAnsi"/>
                <w:b/>
                <w:color w:val="000000" w:themeColor="text1"/>
                <w:szCs w:val="24"/>
              </w:rPr>
              <w:t>Goals</w:t>
            </w:r>
          </w:p>
        </w:tc>
        <w:tc>
          <w:tcPr>
            <w:tcW w:w="9290" w:type="dxa"/>
            <w:tcMar>
              <w:top w:w="140" w:type="dxa"/>
              <w:left w:w="108" w:type="dxa"/>
              <w:right w:w="140" w:type="dxa"/>
            </w:tcMar>
          </w:tcPr>
          <w:p w14:paraId="2B1B1BF4" w14:textId="1E4D3025" w:rsidR="00AA32E8" w:rsidRPr="00291B25" w:rsidRDefault="00AA32E8" w:rsidP="00891287">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291B25">
              <w:rPr>
                <w:rFonts w:asciiTheme="minorHAnsi" w:eastAsia="Times New Roman" w:hAnsiTheme="minorHAnsi" w:cstheme="minorHAnsi"/>
                <w:color w:val="000000" w:themeColor="text1"/>
                <w:szCs w:val="24"/>
              </w:rPr>
              <w:t xml:space="preserve">To encourage students to cultivate confidence in themselves and each other using collaborative learning. </w:t>
            </w:r>
          </w:p>
          <w:p w14:paraId="4A0C18F6" w14:textId="77777777" w:rsidR="00AA32E8" w:rsidRPr="00291B25" w:rsidRDefault="00AA32E8" w:rsidP="00891287">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4D266D7B" w14:textId="15850CA7" w:rsidR="00AA32E8" w:rsidRPr="00291B25" w:rsidRDefault="00AA32E8" w:rsidP="00891287">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291B25">
              <w:rPr>
                <w:rFonts w:asciiTheme="minorHAnsi" w:eastAsia="Times New Roman" w:hAnsiTheme="minorHAnsi" w:cstheme="minorHAnsi"/>
                <w:color w:val="000000" w:themeColor="text1"/>
                <w:szCs w:val="24"/>
              </w:rPr>
              <w:t xml:space="preserve">To mitigate stereotyping and other kinds of bias that create negative learning environments for students across all social identities. </w:t>
            </w:r>
          </w:p>
          <w:p w14:paraId="4576AA37" w14:textId="77777777" w:rsidR="00AA32E8" w:rsidRDefault="00AA32E8" w:rsidP="00AA32E8">
            <w:pPr>
              <w:shd w:val="clear" w:color="auto" w:fill="FFFFFF"/>
              <w:contextualSpacing w:val="0"/>
              <w:textAlignment w:val="baseline"/>
              <w:rPr>
                <w:rFonts w:asciiTheme="minorHAnsi" w:eastAsia="Times New Roman" w:hAnsiTheme="minorHAnsi" w:cstheme="minorHAnsi"/>
                <w:color w:val="000000" w:themeColor="text1"/>
                <w:sz w:val="22"/>
                <w:szCs w:val="22"/>
              </w:rPr>
            </w:pPr>
          </w:p>
          <w:p w14:paraId="0D71D23A" w14:textId="70E96939" w:rsidR="00AD60BD" w:rsidRPr="00291B25" w:rsidRDefault="00AD60BD" w:rsidP="00AA32E8">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AA32E8" w14:paraId="68720ECD" w14:textId="77777777" w:rsidTr="001155C2">
        <w:tc>
          <w:tcPr>
            <w:tcW w:w="1880" w:type="dxa"/>
            <w:shd w:val="clear" w:color="auto" w:fill="F2F2F2" w:themeFill="background1" w:themeFillShade="F2"/>
            <w:tcMar>
              <w:top w:w="140" w:type="dxa"/>
              <w:left w:w="108" w:type="dxa"/>
              <w:right w:w="140" w:type="dxa"/>
            </w:tcMar>
          </w:tcPr>
          <w:p w14:paraId="6382FE64" w14:textId="77777777" w:rsidR="00AA32E8" w:rsidRPr="00291B25" w:rsidRDefault="00AA32E8" w:rsidP="00891287">
            <w:pPr>
              <w:contextualSpacing w:val="0"/>
              <w:rPr>
                <w:rFonts w:asciiTheme="minorHAnsi" w:eastAsia="Calibri" w:hAnsiTheme="minorHAnsi" w:cstheme="minorHAnsi"/>
                <w:color w:val="000000" w:themeColor="text1"/>
                <w:szCs w:val="24"/>
              </w:rPr>
            </w:pPr>
            <w:r w:rsidRPr="00291B25">
              <w:rPr>
                <w:rFonts w:asciiTheme="minorHAnsi" w:eastAsia="Calibri" w:hAnsiTheme="minorHAnsi" w:cstheme="minorHAnsi"/>
                <w:b/>
                <w:color w:val="000000" w:themeColor="text1"/>
                <w:szCs w:val="24"/>
              </w:rPr>
              <w:t xml:space="preserve">Implementation </w:t>
            </w:r>
          </w:p>
        </w:tc>
        <w:tc>
          <w:tcPr>
            <w:tcW w:w="9290" w:type="dxa"/>
            <w:tcMar>
              <w:top w:w="140" w:type="dxa"/>
              <w:left w:w="108" w:type="dxa"/>
              <w:right w:w="140" w:type="dxa"/>
            </w:tcMar>
          </w:tcPr>
          <w:p w14:paraId="187D81B1" w14:textId="47457FA5" w:rsidR="00AA32E8" w:rsidRPr="00887B4C" w:rsidRDefault="00AA32E8" w:rsidP="00AA32E8">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887B4C">
              <w:rPr>
                <w:rFonts w:asciiTheme="minorHAnsi" w:hAnsiTheme="minorHAnsi" w:cstheme="minorHAnsi"/>
                <w:color w:val="000000" w:themeColor="text1"/>
                <w:bdr w:val="none" w:sz="0" w:space="0" w:color="auto" w:frame="1"/>
              </w:rPr>
              <w:t xml:space="preserve">Abigail Stewart, Distinguished Professor of Psychology and Women’s Studies at the University of Michigan, Joyce Yen, Director of the ADVANCE Center for Institutional Change at the University of Washington, and Sapna </w:t>
            </w:r>
            <w:proofErr w:type="spellStart"/>
            <w:r w:rsidRPr="00887B4C">
              <w:rPr>
                <w:rFonts w:asciiTheme="minorHAnsi" w:hAnsiTheme="minorHAnsi" w:cstheme="minorHAnsi"/>
                <w:color w:val="000000" w:themeColor="text1"/>
                <w:bdr w:val="none" w:sz="0" w:space="0" w:color="auto" w:frame="1"/>
              </w:rPr>
              <w:t>Cheryan</w:t>
            </w:r>
            <w:proofErr w:type="spellEnd"/>
            <w:r w:rsidRPr="00887B4C">
              <w:rPr>
                <w:rFonts w:asciiTheme="minorHAnsi" w:hAnsiTheme="minorHAnsi" w:cstheme="minorHAnsi"/>
                <w:color w:val="000000" w:themeColor="text1"/>
                <w:bdr w:val="none" w:sz="0" w:space="0" w:color="auto" w:frame="1"/>
              </w:rPr>
              <w:t>, Associate Professor of Psychology at the University of Washington,</w:t>
            </w:r>
            <w:r w:rsidRPr="00887B4C">
              <w:rPr>
                <w:rFonts w:asciiTheme="minorHAnsi" w:hAnsiTheme="minorHAnsi" w:cstheme="minorHAnsi"/>
                <w:color w:val="000000" w:themeColor="text1"/>
              </w:rPr>
              <w:t> </w:t>
            </w:r>
            <w:r w:rsidRPr="00887B4C">
              <w:rPr>
                <w:rFonts w:asciiTheme="minorHAnsi" w:hAnsiTheme="minorHAnsi" w:cstheme="minorHAnsi"/>
                <w:color w:val="000000" w:themeColor="text1"/>
                <w:bdr w:val="none" w:sz="0" w:space="0" w:color="auto" w:frame="1"/>
              </w:rPr>
              <w:t>developed content for using the Jigsaw method in their classes. Their teaching materials are included below and may be adapted for use in your classroom:</w:t>
            </w:r>
          </w:p>
          <w:p w14:paraId="503EC996" w14:textId="77777777" w:rsidR="00AA32E8" w:rsidRPr="00291B25" w:rsidRDefault="00AA32E8" w:rsidP="00AA32E8">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534C5303" w14:textId="6F5445DE" w:rsidR="00AA32E8" w:rsidRPr="00291B25" w:rsidRDefault="00AD60BD" w:rsidP="00AA32E8">
            <w:pPr>
              <w:pStyle w:val="ListParagraph"/>
              <w:numPr>
                <w:ilvl w:val="0"/>
                <w:numId w:val="4"/>
              </w:numPr>
              <w:shd w:val="clear" w:color="auto" w:fill="FFFFFF"/>
              <w:contextualSpacing w:val="0"/>
              <w:textAlignment w:val="baseline"/>
              <w:rPr>
                <w:rFonts w:asciiTheme="minorHAnsi" w:hAnsiTheme="minorHAnsi" w:cstheme="minorHAnsi"/>
                <w:color w:val="000000" w:themeColor="text1"/>
                <w:u w:val="single"/>
              </w:rPr>
            </w:pPr>
            <w:hyperlink r:id="rId7" w:history="1">
              <w:r w:rsidR="00047012" w:rsidRPr="006158A8">
                <w:rPr>
                  <w:rStyle w:val="Hyperlink"/>
                  <w:rFonts w:asciiTheme="minorHAnsi" w:hAnsiTheme="minorHAnsi" w:cstheme="minorHAnsi"/>
                  <w:bdr w:val="none" w:sz="0" w:space="0" w:color="auto" w:frame="1"/>
                </w:rPr>
                <w:t>PowerPoint</w:t>
              </w:r>
              <w:r w:rsidR="00047012" w:rsidRPr="006158A8">
                <w:rPr>
                  <w:rStyle w:val="Hyperlink"/>
                  <w:rFonts w:asciiTheme="minorHAnsi" w:hAnsiTheme="minorHAnsi" w:cstheme="minorHAnsi"/>
                  <w:u w:val="none"/>
                  <w:bdr w:val="none" w:sz="0" w:space="0" w:color="auto" w:frame="1"/>
                </w:rPr>
                <w:t xml:space="preserve"> </w:t>
              </w:r>
            </w:hyperlink>
            <w:r w:rsidR="00047012" w:rsidRPr="00291B25">
              <w:rPr>
                <w:rStyle w:val="Hyperlink"/>
                <w:rFonts w:asciiTheme="minorHAnsi" w:hAnsiTheme="minorHAnsi" w:cstheme="minorHAnsi"/>
                <w:color w:val="000000" w:themeColor="text1"/>
                <w:u w:val="none"/>
                <w:bdr w:val="none" w:sz="0" w:space="0" w:color="auto" w:frame="1"/>
              </w:rPr>
              <w:t>that introduces and provides instruction for a Jigsaw assignment</w:t>
            </w:r>
          </w:p>
          <w:p w14:paraId="6AA0A470" w14:textId="77777777" w:rsidR="006D3BF7" w:rsidRPr="00291B25" w:rsidRDefault="006D3BF7" w:rsidP="006D3BF7">
            <w:pPr>
              <w:pStyle w:val="ListParagraph"/>
              <w:shd w:val="clear" w:color="auto" w:fill="FFFFFF"/>
              <w:ind w:left="360"/>
              <w:contextualSpacing w:val="0"/>
              <w:textAlignment w:val="baseline"/>
              <w:rPr>
                <w:rFonts w:asciiTheme="minorHAnsi" w:hAnsiTheme="minorHAnsi" w:cstheme="minorHAnsi"/>
                <w:color w:val="000000" w:themeColor="text1"/>
              </w:rPr>
            </w:pPr>
          </w:p>
          <w:p w14:paraId="380140B3" w14:textId="58327EFE" w:rsidR="00AA32E8" w:rsidRPr="00291B25" w:rsidRDefault="00AD60BD" w:rsidP="00AA32E8">
            <w:pPr>
              <w:pStyle w:val="ListParagraph"/>
              <w:numPr>
                <w:ilvl w:val="0"/>
                <w:numId w:val="4"/>
              </w:numPr>
              <w:shd w:val="clear" w:color="auto" w:fill="FFFFFF"/>
              <w:contextualSpacing w:val="0"/>
              <w:textAlignment w:val="baseline"/>
              <w:rPr>
                <w:rFonts w:asciiTheme="minorHAnsi" w:hAnsiTheme="minorHAnsi" w:cstheme="minorHAnsi"/>
                <w:color w:val="000000" w:themeColor="text1"/>
              </w:rPr>
            </w:pPr>
            <w:hyperlink r:id="rId8" w:history="1">
              <w:r w:rsidR="00047012" w:rsidRPr="006158A8">
                <w:rPr>
                  <w:rStyle w:val="Hyperlink"/>
                  <w:rFonts w:asciiTheme="minorHAnsi" w:hAnsiTheme="minorHAnsi" w:cstheme="minorHAnsi"/>
                  <w:bdr w:val="none" w:sz="0" w:space="0" w:color="auto" w:frame="1"/>
                </w:rPr>
                <w:t>Worksheet</w:t>
              </w:r>
            </w:hyperlink>
            <w:r w:rsidR="00047012" w:rsidRPr="00291B25">
              <w:rPr>
                <w:rStyle w:val="Hyperlink"/>
                <w:rFonts w:asciiTheme="minorHAnsi" w:hAnsiTheme="minorHAnsi" w:cstheme="minorHAnsi"/>
                <w:color w:val="000000" w:themeColor="text1"/>
                <w:u w:val="none"/>
                <w:bdr w:val="none" w:sz="0" w:space="0" w:color="auto" w:frame="1"/>
              </w:rPr>
              <w:t xml:space="preserve"> for “expert” groups</w:t>
            </w:r>
          </w:p>
          <w:p w14:paraId="0C2ABC6B" w14:textId="77777777" w:rsidR="006D3BF7" w:rsidRPr="00291B25" w:rsidRDefault="006D3BF7" w:rsidP="006D3BF7">
            <w:pPr>
              <w:shd w:val="clear" w:color="auto" w:fill="FFFFFF"/>
              <w:contextualSpacing w:val="0"/>
              <w:textAlignment w:val="baseline"/>
              <w:rPr>
                <w:rFonts w:asciiTheme="minorHAnsi" w:hAnsiTheme="minorHAnsi" w:cstheme="minorHAnsi"/>
                <w:color w:val="000000" w:themeColor="text1"/>
              </w:rPr>
            </w:pPr>
          </w:p>
          <w:p w14:paraId="30625437" w14:textId="022CE33A" w:rsidR="00AA32E8" w:rsidRPr="00291B25" w:rsidRDefault="00AD60BD" w:rsidP="00AA32E8">
            <w:pPr>
              <w:pStyle w:val="ListParagraph"/>
              <w:numPr>
                <w:ilvl w:val="0"/>
                <w:numId w:val="4"/>
              </w:numPr>
              <w:shd w:val="clear" w:color="auto" w:fill="FFFFFF"/>
              <w:contextualSpacing w:val="0"/>
              <w:textAlignment w:val="baseline"/>
              <w:rPr>
                <w:rFonts w:asciiTheme="minorHAnsi" w:hAnsiTheme="minorHAnsi" w:cstheme="minorHAnsi"/>
                <w:color w:val="000000" w:themeColor="text1"/>
              </w:rPr>
            </w:pPr>
            <w:hyperlink r:id="rId9" w:history="1">
              <w:r w:rsidR="00047012" w:rsidRPr="006158A8">
                <w:rPr>
                  <w:rStyle w:val="Hyperlink"/>
                  <w:rFonts w:asciiTheme="minorHAnsi" w:hAnsiTheme="minorHAnsi" w:cstheme="minorHAnsi"/>
                  <w:bdr w:val="none" w:sz="0" w:space="0" w:color="auto" w:frame="1"/>
                </w:rPr>
                <w:t>Worksheet</w:t>
              </w:r>
            </w:hyperlink>
            <w:r w:rsidR="00047012" w:rsidRPr="006158A8">
              <w:rPr>
                <w:rStyle w:val="Hyperlink"/>
                <w:rFonts w:asciiTheme="minorHAnsi" w:hAnsiTheme="minorHAnsi" w:cstheme="minorHAnsi"/>
                <w:u w:val="none"/>
                <w:bdr w:val="none" w:sz="0" w:space="0" w:color="auto" w:frame="1"/>
              </w:rPr>
              <w:t xml:space="preserve"> </w:t>
            </w:r>
            <w:r w:rsidR="00047012" w:rsidRPr="00291B25">
              <w:rPr>
                <w:rStyle w:val="Hyperlink"/>
                <w:rFonts w:asciiTheme="minorHAnsi" w:hAnsiTheme="minorHAnsi" w:cstheme="minorHAnsi"/>
                <w:color w:val="000000" w:themeColor="text1"/>
                <w:u w:val="none"/>
                <w:bdr w:val="none" w:sz="0" w:space="0" w:color="auto" w:frame="1"/>
              </w:rPr>
              <w:t>for “home” groups</w:t>
            </w:r>
          </w:p>
          <w:p w14:paraId="244C8F45" w14:textId="77777777" w:rsidR="00AA32E8" w:rsidRPr="00291B25" w:rsidRDefault="00AA32E8"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p w14:paraId="29C38450" w14:textId="4A39FC4E" w:rsidR="006D3BF7" w:rsidRDefault="006D3BF7"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p w14:paraId="2D912A68" w14:textId="77777777" w:rsidR="00AD60BD" w:rsidRPr="00291B25" w:rsidRDefault="00AD60BD"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p w14:paraId="727E0AD2" w14:textId="7FF70ADC" w:rsidR="001155C2" w:rsidRPr="00291B25" w:rsidRDefault="001155C2"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AA32E8" w14:paraId="59424AA1" w14:textId="77777777" w:rsidTr="001155C2">
        <w:tc>
          <w:tcPr>
            <w:tcW w:w="1880" w:type="dxa"/>
            <w:shd w:val="clear" w:color="auto" w:fill="F2F2F2" w:themeFill="background1" w:themeFillShade="F2"/>
            <w:tcMar>
              <w:top w:w="140" w:type="dxa"/>
              <w:left w:w="108" w:type="dxa"/>
              <w:right w:w="140" w:type="dxa"/>
            </w:tcMar>
          </w:tcPr>
          <w:p w14:paraId="7AAEB9B1" w14:textId="77777777" w:rsidR="00AA32E8" w:rsidRPr="00887B4C" w:rsidRDefault="00AA32E8" w:rsidP="00891287">
            <w:pPr>
              <w:contextualSpacing w:val="0"/>
              <w:rPr>
                <w:rFonts w:ascii="Calibri" w:eastAsia="Calibri" w:hAnsi="Calibri" w:cs="Calibri"/>
                <w:b/>
                <w:color w:val="000000" w:themeColor="text1"/>
                <w:szCs w:val="24"/>
              </w:rPr>
            </w:pPr>
            <w:r w:rsidRPr="00887B4C">
              <w:rPr>
                <w:rFonts w:ascii="Calibri" w:eastAsia="Calibri" w:hAnsi="Calibri" w:cs="Calibri"/>
                <w:b/>
                <w:color w:val="000000" w:themeColor="text1"/>
                <w:szCs w:val="24"/>
              </w:rPr>
              <w:lastRenderedPageBreak/>
              <w:t>Challenges</w:t>
            </w:r>
          </w:p>
        </w:tc>
        <w:tc>
          <w:tcPr>
            <w:tcW w:w="9290" w:type="dxa"/>
            <w:tcMar>
              <w:top w:w="140" w:type="dxa"/>
              <w:left w:w="108" w:type="dxa"/>
              <w:right w:w="140" w:type="dxa"/>
            </w:tcMar>
          </w:tcPr>
          <w:p w14:paraId="288C98A0" w14:textId="77777777" w:rsidR="00AA32E8" w:rsidRPr="00887B4C" w:rsidRDefault="00AA32E8" w:rsidP="00AA32E8">
            <w:pPr>
              <w:shd w:val="clear" w:color="auto" w:fill="FFFFFF"/>
              <w:contextualSpacing w:val="0"/>
              <w:textAlignment w:val="baseline"/>
              <w:rPr>
                <w:rFonts w:asciiTheme="minorHAnsi" w:hAnsiTheme="minorHAnsi" w:cstheme="minorHAnsi"/>
                <w:color w:val="000000" w:themeColor="text1"/>
                <w:shd w:val="clear" w:color="auto" w:fill="FFFFFF"/>
              </w:rPr>
            </w:pPr>
            <w:r w:rsidRPr="00887B4C">
              <w:rPr>
                <w:rFonts w:asciiTheme="minorHAnsi" w:hAnsiTheme="minorHAnsi" w:cstheme="minorHAnsi"/>
                <w:color w:val="000000" w:themeColor="text1"/>
                <w:shd w:val="clear" w:color="auto" w:fill="FFFFFF"/>
              </w:rPr>
              <w:t>Planning groups can take quite a bit of time and remember that you will need to create two sets of groups. In the “expert” group, students learn the same body of information or skill together. They are then asked to join their “home” or “jigsaw” group to teach the material they have learned. For expert groups, try to avoid assigning content or tasks that are stereotypical of students’ social identities. For example, avoid creating an all-male group tasked with learning a mechanical lab skill or an all-female group tasked with learning a communication skill.</w:t>
            </w:r>
          </w:p>
          <w:p w14:paraId="0E4DC9C5" w14:textId="1F3DFFD7" w:rsidR="003063C4" w:rsidRPr="00887B4C" w:rsidRDefault="003063C4" w:rsidP="00AA32E8">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AA32E8" w14:paraId="1C2A69C5" w14:textId="77777777" w:rsidTr="001155C2">
        <w:tc>
          <w:tcPr>
            <w:tcW w:w="1880" w:type="dxa"/>
            <w:shd w:val="clear" w:color="auto" w:fill="F2F2F2" w:themeFill="background1" w:themeFillShade="F2"/>
            <w:tcMar>
              <w:top w:w="140" w:type="dxa"/>
              <w:left w:w="108" w:type="dxa"/>
              <w:right w:w="140" w:type="dxa"/>
            </w:tcMar>
          </w:tcPr>
          <w:p w14:paraId="3988E9FD" w14:textId="0DE272A2" w:rsidR="00AA32E8" w:rsidRPr="00887B4C" w:rsidRDefault="00AA32E8" w:rsidP="00891287">
            <w:pPr>
              <w:contextualSpacing w:val="0"/>
              <w:rPr>
                <w:rFonts w:ascii="Calibri" w:eastAsia="Calibri" w:hAnsi="Calibri" w:cs="Calibri"/>
                <w:b/>
                <w:color w:val="000000" w:themeColor="text1"/>
                <w:szCs w:val="24"/>
              </w:rPr>
            </w:pPr>
            <w:r w:rsidRPr="00887B4C">
              <w:rPr>
                <w:rFonts w:ascii="Calibri" w:eastAsia="Calibri" w:hAnsi="Calibri" w:cs="Calibri"/>
                <w:b/>
                <w:color w:val="000000" w:themeColor="text1"/>
                <w:szCs w:val="24"/>
              </w:rPr>
              <w:t>Integration with Course Content</w:t>
            </w:r>
          </w:p>
        </w:tc>
        <w:tc>
          <w:tcPr>
            <w:tcW w:w="9290" w:type="dxa"/>
            <w:tcMar>
              <w:top w:w="140" w:type="dxa"/>
              <w:left w:w="108" w:type="dxa"/>
              <w:right w:w="140" w:type="dxa"/>
            </w:tcMar>
          </w:tcPr>
          <w:p w14:paraId="7DA10F81" w14:textId="7C5C03B8" w:rsidR="00AA32E8" w:rsidRPr="00887B4C" w:rsidRDefault="00AA32E8" w:rsidP="00AA32E8">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887B4C">
              <w:rPr>
                <w:rFonts w:asciiTheme="minorHAnsi" w:eastAsia="Times New Roman" w:hAnsiTheme="minorHAnsi" w:cstheme="minorHAnsi"/>
                <w:color w:val="000000" w:themeColor="text1"/>
                <w:szCs w:val="24"/>
                <w:bdr w:val="none" w:sz="0" w:space="0" w:color="auto" w:frame="1"/>
              </w:rPr>
              <w:t>In its simplest version, an instructor can form groups A, B, and C and assign each group a different reading or lab skill to learn. These are called “expert” groups. Once each student group has mastered the required content or skill, the instructor then forms new groups with one student from A, B, and C in each group. These are called “home” or “jigsaw” groups. Those students are now “experts” in the material they learned in their original groups, and they can teach students in the home group what they have learned.</w:t>
            </w:r>
          </w:p>
          <w:p w14:paraId="7107A27A" w14:textId="77777777" w:rsidR="00AA32E8" w:rsidRPr="00887B4C" w:rsidRDefault="00AA32E8" w:rsidP="00AA32E8">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26DCB6C2" w14:textId="77777777" w:rsidR="00AA32E8" w:rsidRPr="00887B4C" w:rsidRDefault="00AA32E8" w:rsidP="00AA32E8">
            <w:pPr>
              <w:widowControl/>
              <w:shd w:val="clear" w:color="auto" w:fill="FFFFFF"/>
              <w:contextualSpacing w:val="0"/>
              <w:textAlignment w:val="baseline"/>
              <w:rPr>
                <w:rFonts w:asciiTheme="minorHAnsi" w:eastAsia="Times New Roman" w:hAnsiTheme="minorHAnsi" w:cstheme="minorHAnsi"/>
                <w:color w:val="000000" w:themeColor="text1"/>
                <w:szCs w:val="24"/>
              </w:rPr>
            </w:pPr>
            <w:r w:rsidRPr="00887B4C">
              <w:rPr>
                <w:rFonts w:asciiTheme="minorHAnsi" w:eastAsia="Times New Roman" w:hAnsiTheme="minorHAnsi" w:cstheme="minorHAnsi"/>
                <w:color w:val="000000" w:themeColor="text1"/>
                <w:szCs w:val="24"/>
                <w:bdr w:val="none" w:sz="0" w:space="0" w:color="auto" w:frame="1"/>
              </w:rPr>
              <w:t>This approach can work well in STEM classes where students must work in lab or project teams, and it can be applied in other classes where students read assigned content and then teach that content to one another in small groups or class presentations.</w:t>
            </w:r>
          </w:p>
          <w:p w14:paraId="548562C1" w14:textId="77777777" w:rsidR="00AA32E8" w:rsidRPr="00887B4C" w:rsidRDefault="00AA32E8" w:rsidP="00AA32E8">
            <w:pPr>
              <w:shd w:val="clear" w:color="auto" w:fill="FFFFFF"/>
              <w:contextualSpacing w:val="0"/>
              <w:textAlignment w:val="baseline"/>
              <w:rPr>
                <w:rFonts w:asciiTheme="minorHAnsi" w:hAnsiTheme="minorHAnsi" w:cstheme="minorHAnsi"/>
                <w:color w:val="000000" w:themeColor="text1"/>
                <w:shd w:val="clear" w:color="auto" w:fill="FFFFFF"/>
              </w:rPr>
            </w:pPr>
          </w:p>
        </w:tc>
      </w:tr>
      <w:tr w:rsidR="00CA4773" w14:paraId="11C7CF82" w14:textId="77777777" w:rsidTr="001155C2">
        <w:tc>
          <w:tcPr>
            <w:tcW w:w="1880" w:type="dxa"/>
            <w:shd w:val="clear" w:color="auto" w:fill="F2F2F2" w:themeFill="background1" w:themeFillShade="F2"/>
            <w:tcMar>
              <w:top w:w="140" w:type="dxa"/>
              <w:left w:w="108" w:type="dxa"/>
              <w:right w:w="140" w:type="dxa"/>
            </w:tcMar>
          </w:tcPr>
          <w:p w14:paraId="4575A258" w14:textId="3B9CD44C" w:rsidR="00CA4773" w:rsidRDefault="00CA4773" w:rsidP="00891287">
            <w:pPr>
              <w:contextualSpacing w:val="0"/>
              <w:rPr>
                <w:rFonts w:ascii="Calibri" w:eastAsia="Calibri" w:hAnsi="Calibri" w:cs="Calibri"/>
                <w:b/>
                <w:szCs w:val="24"/>
              </w:rPr>
            </w:pPr>
            <w:r w:rsidRPr="00EA281B">
              <w:rPr>
                <w:rFonts w:ascii="Calibri" w:eastAsia="Calibri" w:hAnsi="Calibri" w:cs="Calibri"/>
                <w:b/>
                <w:color w:val="000000" w:themeColor="text1"/>
                <w:szCs w:val="24"/>
              </w:rPr>
              <w:t xml:space="preserve">Additional Resources </w:t>
            </w:r>
          </w:p>
        </w:tc>
        <w:tc>
          <w:tcPr>
            <w:tcW w:w="9290" w:type="dxa"/>
            <w:tcMar>
              <w:top w:w="140" w:type="dxa"/>
              <w:left w:w="108" w:type="dxa"/>
              <w:right w:w="140" w:type="dxa"/>
            </w:tcMar>
          </w:tcPr>
          <w:p w14:paraId="7A57CFA6" w14:textId="188293F8" w:rsidR="00CA4773" w:rsidRPr="00887B4C" w:rsidRDefault="00CA4773" w:rsidP="00CA4773">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887B4C">
              <w:rPr>
                <w:rFonts w:asciiTheme="minorHAnsi" w:hAnsiTheme="minorHAnsi" w:cstheme="minorHAnsi"/>
                <w:color w:val="000000" w:themeColor="text1"/>
                <w:bdr w:val="none" w:sz="0" w:space="0" w:color="auto" w:frame="1"/>
              </w:rPr>
              <w:t>“</w:t>
            </w:r>
            <w:hyperlink r:id="rId10" w:history="1">
              <w:r w:rsidRPr="00887B4C">
                <w:rPr>
                  <w:rStyle w:val="Hyperlink"/>
                  <w:rFonts w:asciiTheme="minorHAnsi" w:hAnsiTheme="minorHAnsi" w:cstheme="minorHAnsi"/>
                  <w:bdr w:val="none" w:sz="0" w:space="0" w:color="auto" w:frame="1"/>
                </w:rPr>
                <w:t>The Jigsaw Classroom</w:t>
              </w:r>
            </w:hyperlink>
            <w:r w:rsidRPr="00887B4C">
              <w:rPr>
                <w:rFonts w:asciiTheme="minorHAnsi" w:hAnsiTheme="minorHAnsi" w:cstheme="minorHAnsi"/>
                <w:color w:val="000000" w:themeColor="text1"/>
                <w:bdr w:val="none" w:sz="0" w:space="0" w:color="auto" w:frame="1"/>
              </w:rPr>
              <w:t>” – provides a history of this method and resources for implementation.</w:t>
            </w:r>
          </w:p>
          <w:p w14:paraId="15AFDA0B" w14:textId="77777777" w:rsidR="00CA4773" w:rsidRPr="00887B4C" w:rsidRDefault="00CA4773" w:rsidP="00CA477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15C60B0B" w14:textId="56C3C0E2" w:rsidR="00CA4773" w:rsidRPr="00887B4C" w:rsidRDefault="00CA4773" w:rsidP="00CA477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87B4C">
              <w:rPr>
                <w:rFonts w:asciiTheme="minorHAnsi" w:hAnsiTheme="minorHAnsi" w:cstheme="minorHAnsi"/>
                <w:color w:val="000000" w:themeColor="text1"/>
                <w:bdr w:val="none" w:sz="0" w:space="0" w:color="auto" w:frame="1"/>
              </w:rPr>
              <w:t>“</w:t>
            </w:r>
            <w:hyperlink r:id="rId11" w:history="1">
              <w:r w:rsidRPr="00887B4C">
                <w:rPr>
                  <w:rStyle w:val="Hyperlink"/>
                  <w:rFonts w:asciiTheme="minorHAnsi" w:hAnsiTheme="minorHAnsi" w:cstheme="minorHAnsi"/>
                  <w:bdr w:val="none" w:sz="0" w:space="0" w:color="auto" w:frame="1"/>
                </w:rPr>
                <w:t>4 Things You Don’t Know About the Jigsaw Method</w:t>
              </w:r>
            </w:hyperlink>
            <w:r w:rsidRPr="00887B4C">
              <w:rPr>
                <w:rFonts w:asciiTheme="minorHAnsi" w:hAnsiTheme="minorHAnsi" w:cstheme="minorHAnsi"/>
                <w:color w:val="000000" w:themeColor="text1"/>
                <w:bdr w:val="none" w:sz="0" w:space="0" w:color="auto" w:frame="1"/>
              </w:rPr>
              <w:t>” – provides advice for modifying Jigsaw and troubleshooting come problems.</w:t>
            </w:r>
          </w:p>
          <w:p w14:paraId="4CE1E981" w14:textId="77777777" w:rsidR="00CA4773" w:rsidRPr="002C1FCC" w:rsidRDefault="00CA4773" w:rsidP="00AA32E8">
            <w:pPr>
              <w:widowControl/>
              <w:shd w:val="clear" w:color="auto" w:fill="FFFFFF"/>
              <w:contextualSpacing w:val="0"/>
              <w:textAlignment w:val="baseline"/>
              <w:rPr>
                <w:rFonts w:asciiTheme="minorHAnsi" w:eastAsia="Times New Roman" w:hAnsiTheme="minorHAnsi" w:cstheme="minorHAnsi"/>
                <w:color w:val="3A3A3A"/>
                <w:szCs w:val="24"/>
                <w:bdr w:val="none" w:sz="0" w:space="0" w:color="auto" w:frame="1"/>
              </w:rPr>
            </w:pPr>
          </w:p>
        </w:tc>
      </w:tr>
      <w:tr w:rsidR="00533AD1" w14:paraId="10E53499" w14:textId="77777777" w:rsidTr="001155C2">
        <w:tc>
          <w:tcPr>
            <w:tcW w:w="1880" w:type="dxa"/>
            <w:shd w:val="clear" w:color="auto" w:fill="F2F2F2" w:themeFill="background1" w:themeFillShade="F2"/>
            <w:tcMar>
              <w:top w:w="140" w:type="dxa"/>
              <w:left w:w="108" w:type="dxa"/>
              <w:right w:w="140" w:type="dxa"/>
            </w:tcMar>
          </w:tcPr>
          <w:p w14:paraId="232B746F" w14:textId="47B98F31" w:rsidR="00533AD1" w:rsidRDefault="00533AD1" w:rsidP="00891287">
            <w:pPr>
              <w:contextualSpacing w:val="0"/>
              <w:rPr>
                <w:rFonts w:ascii="Calibri" w:eastAsia="Calibri" w:hAnsi="Calibri" w:cs="Calibri"/>
                <w:b/>
                <w:szCs w:val="24"/>
              </w:rPr>
            </w:pPr>
            <w:r w:rsidRPr="00EA281B">
              <w:rPr>
                <w:rFonts w:ascii="Calibri" w:eastAsia="Calibri" w:hAnsi="Calibri" w:cs="Calibri"/>
                <w:b/>
                <w:color w:val="000000" w:themeColor="text1"/>
                <w:szCs w:val="24"/>
              </w:rPr>
              <w:t xml:space="preserve">Related Articles </w:t>
            </w:r>
          </w:p>
        </w:tc>
        <w:tc>
          <w:tcPr>
            <w:tcW w:w="9290" w:type="dxa"/>
            <w:tcMar>
              <w:top w:w="140" w:type="dxa"/>
              <w:left w:w="108" w:type="dxa"/>
              <w:right w:w="140" w:type="dxa"/>
            </w:tcMar>
          </w:tcPr>
          <w:p w14:paraId="04183A78" w14:textId="5AF00250" w:rsidR="00816B61" w:rsidRPr="00887B4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887B4C">
              <w:rPr>
                <w:rFonts w:asciiTheme="minorHAnsi" w:hAnsiTheme="minorHAnsi" w:cstheme="minorHAnsi"/>
                <w:color w:val="000000" w:themeColor="text1"/>
                <w:bdr w:val="none" w:sz="0" w:space="0" w:color="auto" w:frame="1"/>
              </w:rPr>
              <w:t>Aronson, E., N. Blaney, et al. (1978). </w:t>
            </w:r>
            <w:r w:rsidRPr="00887B4C">
              <w:rPr>
                <w:rFonts w:asciiTheme="minorHAnsi" w:hAnsiTheme="minorHAnsi" w:cstheme="minorHAnsi"/>
                <w:i/>
                <w:iCs/>
                <w:color w:val="000000" w:themeColor="text1"/>
                <w:bdr w:val="none" w:sz="0" w:space="0" w:color="auto" w:frame="1"/>
              </w:rPr>
              <w:t>The Jigsaw Classroom</w:t>
            </w:r>
            <w:r w:rsidRPr="00887B4C">
              <w:rPr>
                <w:rFonts w:asciiTheme="minorHAnsi" w:hAnsiTheme="minorHAnsi" w:cstheme="minorHAnsi"/>
                <w:color w:val="000000" w:themeColor="text1"/>
                <w:bdr w:val="none" w:sz="0" w:space="0" w:color="auto" w:frame="1"/>
              </w:rPr>
              <w:t>. Beverly Hills, CA: Sage.</w:t>
            </w:r>
          </w:p>
          <w:p w14:paraId="4495ADAD" w14:textId="77777777" w:rsidR="00816B61" w:rsidRPr="00887B4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3087AFD6" w14:textId="3D348DEE" w:rsidR="00816B61" w:rsidRPr="00887B4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roofErr w:type="spellStart"/>
            <w:r w:rsidRPr="00887B4C">
              <w:rPr>
                <w:rFonts w:asciiTheme="minorHAnsi" w:hAnsiTheme="minorHAnsi" w:cstheme="minorHAnsi"/>
                <w:color w:val="000000" w:themeColor="text1"/>
                <w:bdr w:val="none" w:sz="0" w:space="0" w:color="auto" w:frame="1"/>
              </w:rPr>
              <w:t>Baviskar</w:t>
            </w:r>
            <w:proofErr w:type="spellEnd"/>
            <w:r w:rsidRPr="00887B4C">
              <w:rPr>
                <w:rFonts w:asciiTheme="minorHAnsi" w:hAnsiTheme="minorHAnsi" w:cstheme="minorHAnsi"/>
                <w:color w:val="000000" w:themeColor="text1"/>
                <w:bdr w:val="none" w:sz="0" w:space="0" w:color="auto" w:frame="1"/>
              </w:rPr>
              <w:t>, S.N. (2013). “Implementing Jigsaw Technique to Enhance Learning in an Upper-Level Cell and Molecular Biology Course.” </w:t>
            </w:r>
            <w:r w:rsidRPr="00887B4C">
              <w:rPr>
                <w:rStyle w:val="Emphasis"/>
                <w:rFonts w:asciiTheme="minorHAnsi" w:hAnsiTheme="minorHAnsi" w:cstheme="minorHAnsi"/>
                <w:color w:val="000000" w:themeColor="text1"/>
                <w:bdr w:val="none" w:sz="0" w:space="0" w:color="auto" w:frame="1"/>
              </w:rPr>
              <w:t>Exemplary College Science Teaching</w:t>
            </w:r>
            <w:r w:rsidRPr="00887B4C">
              <w:rPr>
                <w:rFonts w:asciiTheme="minorHAnsi" w:hAnsiTheme="minorHAnsi" w:cstheme="minorHAnsi"/>
                <w:color w:val="000000" w:themeColor="text1"/>
                <w:bdr w:val="none" w:sz="0" w:space="0" w:color="auto" w:frame="1"/>
              </w:rPr>
              <w:t>. 107-118.</w:t>
            </w:r>
          </w:p>
          <w:p w14:paraId="2435B343" w14:textId="77777777" w:rsidR="00816B61" w:rsidRPr="00887B4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60717EF4" w14:textId="3B2AD5FA" w:rsidR="00816B61" w:rsidRPr="002C1FC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3A3A3A"/>
              </w:rPr>
            </w:pPr>
            <w:proofErr w:type="spellStart"/>
            <w:r w:rsidRPr="00887B4C">
              <w:rPr>
                <w:rFonts w:asciiTheme="minorHAnsi" w:hAnsiTheme="minorHAnsi" w:cstheme="minorHAnsi"/>
                <w:color w:val="000000" w:themeColor="text1"/>
                <w:bdr w:val="none" w:sz="0" w:space="0" w:color="auto" w:frame="1"/>
              </w:rPr>
              <w:t>Colosi</w:t>
            </w:r>
            <w:proofErr w:type="spellEnd"/>
            <w:r w:rsidRPr="00887B4C">
              <w:rPr>
                <w:rFonts w:asciiTheme="minorHAnsi" w:hAnsiTheme="minorHAnsi" w:cstheme="minorHAnsi"/>
                <w:color w:val="000000" w:themeColor="text1"/>
                <w:bdr w:val="none" w:sz="0" w:space="0" w:color="auto" w:frame="1"/>
              </w:rPr>
              <w:t xml:space="preserve">, J.C., </w:t>
            </w:r>
            <w:proofErr w:type="spellStart"/>
            <w:r w:rsidRPr="00887B4C">
              <w:rPr>
                <w:rFonts w:asciiTheme="minorHAnsi" w:hAnsiTheme="minorHAnsi" w:cstheme="minorHAnsi"/>
                <w:color w:val="000000" w:themeColor="text1"/>
                <w:bdr w:val="none" w:sz="0" w:space="0" w:color="auto" w:frame="1"/>
              </w:rPr>
              <w:t>Zales</w:t>
            </w:r>
            <w:proofErr w:type="spellEnd"/>
            <w:r w:rsidRPr="00887B4C">
              <w:rPr>
                <w:rFonts w:asciiTheme="minorHAnsi" w:hAnsiTheme="minorHAnsi" w:cstheme="minorHAnsi"/>
                <w:color w:val="000000" w:themeColor="text1"/>
                <w:bdr w:val="none" w:sz="0" w:space="0" w:color="auto" w:frame="1"/>
              </w:rPr>
              <w:t>, C.R. (1998). “Jigsaw Cooperative Learning Improves Biology Lab Courses.” </w:t>
            </w:r>
            <w:r w:rsidRPr="00887B4C">
              <w:rPr>
                <w:rFonts w:asciiTheme="minorHAnsi" w:hAnsiTheme="minorHAnsi" w:cstheme="minorHAnsi"/>
                <w:i/>
                <w:iCs/>
                <w:color w:val="000000" w:themeColor="text1"/>
                <w:bdr w:val="none" w:sz="0" w:space="0" w:color="auto" w:frame="1"/>
              </w:rPr>
              <w:t>Bioscience</w:t>
            </w:r>
            <w:r w:rsidRPr="00887B4C">
              <w:rPr>
                <w:rFonts w:asciiTheme="minorHAnsi" w:hAnsiTheme="minorHAnsi" w:cstheme="minorHAnsi"/>
                <w:color w:val="000000" w:themeColor="text1"/>
                <w:bdr w:val="none" w:sz="0" w:space="0" w:color="auto" w:frame="1"/>
              </w:rPr>
              <w:t>. 48(2), 118-124</w:t>
            </w:r>
            <w:r w:rsidRPr="00EA281B">
              <w:rPr>
                <w:rFonts w:asciiTheme="minorHAnsi" w:hAnsiTheme="minorHAnsi" w:cstheme="minorHAnsi"/>
                <w:color w:val="000000" w:themeColor="text1"/>
                <w:bdr w:val="none" w:sz="0" w:space="0" w:color="auto" w:frame="1"/>
              </w:rPr>
              <w:t>. </w:t>
            </w:r>
            <w:hyperlink r:id="rId12" w:history="1">
              <w:r w:rsidRPr="00887B4C">
                <w:rPr>
                  <w:rStyle w:val="Hyperlink"/>
                  <w:rFonts w:asciiTheme="minorHAnsi" w:hAnsiTheme="minorHAnsi" w:cstheme="minorHAnsi"/>
                  <w:u w:val="none"/>
                  <w:bdr w:val="none" w:sz="0" w:space="0" w:color="auto" w:frame="1"/>
                </w:rPr>
                <w:t>DOI: 10.2307/1313137</w:t>
              </w:r>
            </w:hyperlink>
          </w:p>
          <w:p w14:paraId="755F99FB" w14:textId="77777777" w:rsidR="00816B61" w:rsidRPr="00887B4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7D204B27" w14:textId="77777777" w:rsidR="00816B61" w:rsidRPr="002C1FCC" w:rsidRDefault="00816B61" w:rsidP="00816B61">
            <w:pPr>
              <w:pStyle w:val="NormalWeb"/>
              <w:shd w:val="clear" w:color="auto" w:fill="FFFFFF"/>
              <w:spacing w:before="0" w:beforeAutospacing="0" w:after="0" w:afterAutospacing="0"/>
              <w:textAlignment w:val="baseline"/>
              <w:rPr>
                <w:rFonts w:asciiTheme="minorHAnsi" w:hAnsiTheme="minorHAnsi" w:cstheme="minorHAnsi"/>
                <w:color w:val="3A3A3A"/>
              </w:rPr>
            </w:pPr>
            <w:r w:rsidRPr="00887B4C">
              <w:rPr>
                <w:rFonts w:asciiTheme="minorHAnsi" w:hAnsiTheme="minorHAnsi" w:cstheme="minorHAnsi"/>
                <w:color w:val="000000" w:themeColor="text1"/>
                <w:bdr w:val="none" w:sz="0" w:space="0" w:color="auto" w:frame="1"/>
              </w:rPr>
              <w:t xml:space="preserve">Nolan, J. M., Hanley, B. G., </w:t>
            </w:r>
            <w:proofErr w:type="spellStart"/>
            <w:r w:rsidRPr="00887B4C">
              <w:rPr>
                <w:rFonts w:asciiTheme="minorHAnsi" w:hAnsiTheme="minorHAnsi" w:cstheme="minorHAnsi"/>
                <w:color w:val="000000" w:themeColor="text1"/>
                <w:bdr w:val="none" w:sz="0" w:space="0" w:color="auto" w:frame="1"/>
              </w:rPr>
              <w:t>DiVietri</w:t>
            </w:r>
            <w:proofErr w:type="spellEnd"/>
            <w:r w:rsidRPr="00887B4C">
              <w:rPr>
                <w:rFonts w:asciiTheme="minorHAnsi" w:hAnsiTheme="minorHAnsi" w:cstheme="minorHAnsi"/>
                <w:color w:val="000000" w:themeColor="text1"/>
                <w:bdr w:val="none" w:sz="0" w:space="0" w:color="auto" w:frame="1"/>
              </w:rPr>
              <w:t>, T. P., &amp; Harvey, N. A. (2018). She who teaches learns: Performance benefits of a jigsaw activity in a college classroom. </w:t>
            </w:r>
            <w:r w:rsidRPr="00887B4C">
              <w:rPr>
                <w:rFonts w:asciiTheme="minorHAnsi" w:hAnsiTheme="minorHAnsi" w:cstheme="minorHAnsi"/>
                <w:i/>
                <w:iCs/>
                <w:color w:val="000000" w:themeColor="text1"/>
                <w:bdr w:val="none" w:sz="0" w:space="0" w:color="auto" w:frame="1"/>
              </w:rPr>
              <w:t>Scholarship of Teaching and Learning in Psychology</w:t>
            </w:r>
            <w:r w:rsidRPr="00887B4C">
              <w:rPr>
                <w:rFonts w:asciiTheme="minorHAnsi" w:hAnsiTheme="minorHAnsi" w:cstheme="minorHAnsi"/>
                <w:color w:val="000000" w:themeColor="text1"/>
                <w:bdr w:val="none" w:sz="0" w:space="0" w:color="auto" w:frame="1"/>
              </w:rPr>
              <w:t>, 4(2), 93-104. </w:t>
            </w:r>
            <w:hyperlink r:id="rId13" w:history="1">
              <w:r w:rsidRPr="00887B4C">
                <w:rPr>
                  <w:rStyle w:val="Hyperlink"/>
                  <w:rFonts w:asciiTheme="minorHAnsi" w:hAnsiTheme="minorHAnsi" w:cstheme="minorHAnsi"/>
                  <w:u w:val="none"/>
                  <w:bdr w:val="none" w:sz="0" w:space="0" w:color="auto" w:frame="1"/>
                </w:rPr>
                <w:t>DOI: 10.1037/stl0000110</w:t>
              </w:r>
            </w:hyperlink>
          </w:p>
          <w:p w14:paraId="551E9273" w14:textId="77777777" w:rsidR="00533AD1" w:rsidRPr="00CA4773" w:rsidRDefault="00533AD1" w:rsidP="00CA4773">
            <w:pPr>
              <w:pStyle w:val="NormalWeb"/>
              <w:shd w:val="clear" w:color="auto" w:fill="FFFFFF"/>
              <w:spacing w:before="0" w:beforeAutospacing="0" w:after="0" w:afterAutospacing="0"/>
              <w:textAlignment w:val="baseline"/>
              <w:rPr>
                <w:rFonts w:asciiTheme="minorHAnsi" w:hAnsiTheme="minorHAnsi" w:cstheme="minorHAnsi"/>
                <w:color w:val="3A3A3A"/>
                <w:bdr w:val="none" w:sz="0" w:space="0" w:color="auto" w:frame="1"/>
              </w:rPr>
            </w:pPr>
          </w:p>
        </w:tc>
      </w:tr>
    </w:tbl>
    <w:p w14:paraId="29100674" w14:textId="77777777" w:rsidR="00C41DF6" w:rsidRDefault="00C41DF6"/>
    <w:sectPr w:rsidR="00C41DF6" w:rsidSect="00AA3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80A45"/>
    <w:multiLevelType w:val="hybridMultilevel"/>
    <w:tmpl w:val="51BA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2E2E0B"/>
    <w:multiLevelType w:val="multilevel"/>
    <w:tmpl w:val="0CD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1A51C2"/>
    <w:multiLevelType w:val="hybridMultilevel"/>
    <w:tmpl w:val="02EA215E"/>
    <w:lvl w:ilvl="0" w:tplc="60FAB70E">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E8"/>
    <w:rsid w:val="00047012"/>
    <w:rsid w:val="001155C2"/>
    <w:rsid w:val="00291B25"/>
    <w:rsid w:val="002C1FCC"/>
    <w:rsid w:val="002F468B"/>
    <w:rsid w:val="003054F9"/>
    <w:rsid w:val="003063C4"/>
    <w:rsid w:val="00354CA2"/>
    <w:rsid w:val="00434187"/>
    <w:rsid w:val="004C332D"/>
    <w:rsid w:val="00533AD1"/>
    <w:rsid w:val="006158A8"/>
    <w:rsid w:val="006D3BF7"/>
    <w:rsid w:val="00816B61"/>
    <w:rsid w:val="00823BC1"/>
    <w:rsid w:val="00835C32"/>
    <w:rsid w:val="00887B4C"/>
    <w:rsid w:val="009A4C68"/>
    <w:rsid w:val="009E3FD7"/>
    <w:rsid w:val="00AA32E8"/>
    <w:rsid w:val="00AD60BD"/>
    <w:rsid w:val="00B170A8"/>
    <w:rsid w:val="00BA4E4E"/>
    <w:rsid w:val="00C41DF6"/>
    <w:rsid w:val="00CA4773"/>
    <w:rsid w:val="00EA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6206"/>
  <w15:chartTrackingRefBased/>
  <w15:docId w15:val="{3CE27436-0FAB-4F63-AB52-37FF6635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32E8"/>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E8"/>
    <w:pPr>
      <w:widowControl/>
      <w:ind w:left="720"/>
    </w:pPr>
    <w:rPr>
      <w:rFonts w:cs="Times New Roman"/>
      <w:color w:val="auto"/>
    </w:rPr>
  </w:style>
  <w:style w:type="character" w:styleId="Hyperlink">
    <w:name w:val="Hyperlink"/>
    <w:basedOn w:val="DefaultParagraphFont"/>
    <w:uiPriority w:val="99"/>
    <w:unhideWhenUsed/>
    <w:rsid w:val="00AA32E8"/>
    <w:rPr>
      <w:color w:val="0000FF"/>
      <w:u w:val="single"/>
    </w:rPr>
  </w:style>
  <w:style w:type="paragraph" w:styleId="NormalWeb">
    <w:name w:val="Normal (Web)"/>
    <w:basedOn w:val="Normal"/>
    <w:uiPriority w:val="99"/>
    <w:semiHidden/>
    <w:unhideWhenUsed/>
    <w:rsid w:val="00AA32E8"/>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816B61"/>
    <w:rPr>
      <w:i/>
      <w:iCs/>
    </w:rPr>
  </w:style>
  <w:style w:type="character" w:styleId="FollowedHyperlink">
    <w:name w:val="FollowedHyperlink"/>
    <w:basedOn w:val="DefaultParagraphFont"/>
    <w:uiPriority w:val="99"/>
    <w:semiHidden/>
    <w:unhideWhenUsed/>
    <w:rsid w:val="00B170A8"/>
    <w:rPr>
      <w:color w:val="954F72" w:themeColor="followedHyperlink"/>
      <w:u w:val="single"/>
    </w:rPr>
  </w:style>
  <w:style w:type="character" w:styleId="UnresolvedMention">
    <w:name w:val="Unresolved Mention"/>
    <w:basedOn w:val="DefaultParagraphFont"/>
    <w:uiPriority w:val="99"/>
    <w:semiHidden/>
    <w:unhideWhenUsed/>
    <w:rsid w:val="00B1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5319">
      <w:bodyDiv w:val="1"/>
      <w:marLeft w:val="0"/>
      <w:marRight w:val="0"/>
      <w:marTop w:val="0"/>
      <w:marBottom w:val="0"/>
      <w:divBdr>
        <w:top w:val="none" w:sz="0" w:space="0" w:color="auto"/>
        <w:left w:val="none" w:sz="0" w:space="0" w:color="auto"/>
        <w:bottom w:val="none" w:sz="0" w:space="0" w:color="auto"/>
        <w:right w:val="none" w:sz="0" w:space="0" w:color="auto"/>
      </w:divBdr>
    </w:div>
    <w:div w:id="1015766970">
      <w:bodyDiv w:val="1"/>
      <w:marLeft w:val="0"/>
      <w:marRight w:val="0"/>
      <w:marTop w:val="0"/>
      <w:marBottom w:val="0"/>
      <w:divBdr>
        <w:top w:val="none" w:sz="0" w:space="0" w:color="auto"/>
        <w:left w:val="none" w:sz="0" w:space="0" w:color="auto"/>
        <w:bottom w:val="none" w:sz="0" w:space="0" w:color="auto"/>
        <w:right w:val="none" w:sz="0" w:space="0" w:color="auto"/>
      </w:divBdr>
    </w:div>
    <w:div w:id="1436288700">
      <w:bodyDiv w:val="1"/>
      <w:marLeft w:val="0"/>
      <w:marRight w:val="0"/>
      <w:marTop w:val="0"/>
      <w:marBottom w:val="0"/>
      <w:divBdr>
        <w:top w:val="none" w:sz="0" w:space="0" w:color="auto"/>
        <w:left w:val="none" w:sz="0" w:space="0" w:color="auto"/>
        <w:bottom w:val="none" w:sz="0" w:space="0" w:color="auto"/>
        <w:right w:val="none" w:sz="0" w:space="0" w:color="auto"/>
      </w:divBdr>
    </w:div>
    <w:div w:id="1515655483">
      <w:bodyDiv w:val="1"/>
      <w:marLeft w:val="0"/>
      <w:marRight w:val="0"/>
      <w:marTop w:val="0"/>
      <w:marBottom w:val="0"/>
      <w:divBdr>
        <w:top w:val="none" w:sz="0" w:space="0" w:color="auto"/>
        <w:left w:val="none" w:sz="0" w:space="0" w:color="auto"/>
        <w:bottom w:val="none" w:sz="0" w:space="0" w:color="auto"/>
        <w:right w:val="none" w:sz="0" w:space="0" w:color="auto"/>
      </w:divBdr>
    </w:div>
    <w:div w:id="20981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lsa.umich.edu/inclusive-teaching-2/wp-content/uploads/sites/732/2018/09/jigsaw-expert-worksheet-2018.pdf" TargetMode="External"/><Relationship Id="rId13" Type="http://schemas.openxmlformats.org/officeDocument/2006/relationships/hyperlink" Target="http://psycnet.apa.org/record/2018-34247-003" TargetMode="External"/><Relationship Id="rId3" Type="http://schemas.openxmlformats.org/officeDocument/2006/relationships/settings" Target="settings.xml"/><Relationship Id="rId7" Type="http://schemas.openxmlformats.org/officeDocument/2006/relationships/hyperlink" Target="http://sites.lsa.umich.edu/inclusive-teaching-2/wp-content/uploads/sites/732/2018/09/Jigsaw-Slides.pdf" TargetMode="External"/><Relationship Id="rId12" Type="http://schemas.openxmlformats.org/officeDocument/2006/relationships/hyperlink" Target="https://eric.ed.gov/?id=EJ558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igsaw.org/history/carlos.html" TargetMode="External"/><Relationship Id="rId11" Type="http://schemas.openxmlformats.org/officeDocument/2006/relationships/hyperlink" Target="https://www.cultofpedagogy.com/jigsaw-teaching-strateg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jigsaw.org/" TargetMode="External"/><Relationship Id="rId4" Type="http://schemas.openxmlformats.org/officeDocument/2006/relationships/webSettings" Target="webSettings.xml"/><Relationship Id="rId9" Type="http://schemas.openxmlformats.org/officeDocument/2006/relationships/hyperlink" Target="http://sites.lsa.umich.edu/inclusive-teaching-2/wp-content/uploads/sites/732/2018/09/jigsaw-home-worksheet-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796</Words>
  <Characters>4448</Characters>
  <Application>Microsoft Office Word</Application>
  <DocSecurity>0</DocSecurity>
  <Lines>130</Lines>
  <Paragraphs>41</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26</cp:revision>
  <dcterms:created xsi:type="dcterms:W3CDTF">2020-10-07T18:32:00Z</dcterms:created>
  <dcterms:modified xsi:type="dcterms:W3CDTF">2021-08-11T19:52:00Z</dcterms:modified>
</cp:coreProperties>
</file>